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900" w:line="288" w:lineRule="auto"/>
      </w:pPr>
    </w:p>
    <w:p>
      <w:pPr>
        <w:spacing w:after="60" w:line="288" w:lineRule="auto"/>
      </w:pPr>
      <w:r>
        <w:rPr>
          <w:rFonts w:ascii="Calibri" w:hAnsi="Calibri"/>
          <w:b/>
          <w:color w:val="0F3D2A"/>
          <w:sz w:val="64"/>
        </w:rPr>
        <w:t xml:space="preserve">Die Erkundungsarbeit</w:t>
      </w:r>
    </w:p>
    <w:p>
      <w:pPr>
        <w:spacing w:after="200" w:line="288" w:lineRule="auto"/>
        <w:pBdr>
          <w:bottom w:val="single" w:sz="6" w:space="4" w:color="8FB840"/>
        </w:pBdr>
      </w:pPr>
      <w:r>
        <w:rPr>
          <w:rFonts w:ascii="Calibri" w:hAnsi="Calibri"/>
          <w:b/>
          <w:color w:val="8FB840"/>
          <w:sz w:val="40"/>
        </w:rPr>
        <w:t xml:space="preserve">Doppelstunde 1</w:t>
      </w:r>
    </w:p>
    <w:p>
      <w:pPr>
        <w:spacing w:after="140" w:line="288" w:lineRule="auto"/>
      </w:pPr>
      <w:r>
        <w:rPr>
          <w:rFonts w:ascii="Cambria" w:hAnsi="Cambria"/>
          <w:color w:val="1C1C1C"/>
          <w:sz w:val="28"/>
        </w:rPr>
        <w:t xml:space="preserve">Die Präsentation als Lesefassung</w:t>
      </w:r>
    </w:p>
    <w:p>
      <w:pPr>
        <w:spacing w:after="500" w:line="288" w:lineRule="auto"/>
      </w:pPr>
      <w:r>
        <w:rPr>
          <w:rFonts w:ascii="Cambria" w:hAnsi="Cambria"/>
          <w:color w:val="5E5E5E"/>
          <w:sz w:val="22"/>
        </w:rPr>
        <w:t xml:space="preserve">Alle 19 Folien im Wortlaut, mit den Arbeitsaufträgen, den Einteilungen und den Notizen für dich</w:t>
      </w: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1F4EC"/>
            <w:tcBorders>
              <w:left w:val="single" w:sz="26" w:space="0" w:color="8FB840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0F3D2A"/>
                <w:sz w:val="22"/>
              </w:rPr>
              <w:t xml:space="preserve">Wozu diese Fassung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Dieselben Inhalte wie die Datei „IA_DS1_Praesentation.pptx“, nur zum Lesen, Ausdrucken und Ändern. Am Pult brauchst du diese Seiten, an der Wand die Folien.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Die Kästen „Für dich“ entsprechen den Notizen unter den Folien. Sie werden nicht projiziert.</w:t>
            </w:r>
          </w:p>
        </w:tc>
      </w:tr>
    </w:tbl>
    <w:p>
      <w:pPr>
        <w:spacing w:after="120" w:line="288" w:lineRule="auto"/>
      </w:pPr>
    </w:p>
    <w:p>
      <w:pPr>
        <w:spacing w:after="400" w:line="288" w:lineRule="auto"/>
      </w:pPr>
    </w:p>
    <w:p>
      <w:pPr>
        <w:pStyle w:val="KPKlein"/>
        <w:spacing w:line="288" w:lineRule="auto"/>
      </w:pPr>
      <w:r>
        <w:rPr>
          <w:rFonts w:ascii="Calibri" w:hAnsi="Calibri"/>
          <w:color w:val="5E5E5E"/>
          <w:sz w:val="18"/>
        </w:rPr>
        <w:t xml:space="preserve">Dirk Kehm  ·  IGS Ho-Chi-Minh-Stadt  ·  Stand: 28. September 2026</w:t>
      </w:r>
    </w:p>
    <w:p>
      <w:r>
        <w:br w:type="page"/>
      </w: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1</w:t>
      </w:r>
      <w:r>
        <w:rPr>
          <w:rFonts w:ascii="Calibri" w:hAnsi="Calibri"/>
          <w:b/>
          <w:color w:val="5E5E5E"/>
          <w:sz w:val="17"/>
        </w:rPr>
        <w:t xml:space="preserve">   ·   TITELFOLIE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Die Erkundungsarbeit</w:t>
      </w: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2600"/>
        <w:gridCol w:w="6426"/>
      </w:tblGrid>
      <w:tr>
        <w:trPr>
          <w:cantSplit/>
        </w:trPr>
        <w:tc>
          <w:tcPr>
            <w:tcW w:w="2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Oberzeile</w:t>
            </w:r>
          </w:p>
        </w:tc>
        <w:tc>
          <w:tcPr>
            <w:tcW w:w="64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Jahr 1  ·  Doppelstunde 1 von 6  ·  Internal Assessment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2600"/>
        <w:gridCol w:w="6426"/>
      </w:tblGrid>
      <w:tr>
        <w:trPr>
          <w:cantSplit/>
        </w:trPr>
        <w:tc>
          <w:tcPr>
            <w:tcW w:w="2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Marke</w:t>
            </w:r>
          </w:p>
        </w:tc>
        <w:tc>
          <w:tcPr>
            <w:tcW w:w="64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WORKSHOP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2600"/>
        <w:gridCol w:w="6426"/>
      </w:tblGrid>
      <w:tr>
        <w:trPr>
          <w:cantSplit/>
        </w:trPr>
        <w:tc>
          <w:tcPr>
            <w:tcW w:w="2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Untertitel</w:t>
            </w:r>
          </w:p>
        </w:tc>
        <w:tc>
          <w:tcPr>
            <w:tcW w:w="64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Was ist das eigentlich – und woran erkennst du, ob ein Thema dafür taugt?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2600"/>
        <w:gridCol w:w="6426"/>
      </w:tblGrid>
      <w:tr>
        <w:trPr>
          <w:cantSplit/>
        </w:trPr>
        <w:tc>
          <w:tcPr>
            <w:tcW w:w="2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Fußzeile</w:t>
            </w:r>
          </w:p>
        </w:tc>
        <w:tc>
          <w:tcPr>
            <w:tcW w:w="64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90 Minuten  ·  für alle  ·  Material M 1, M 2, M 3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Nicht mit den Regeln anfangen. Erst die Provokation auf Folie 3, dann die Zahlen.</w:t>
            </w:r>
          </w:p>
        </w:tc>
      </w:tr>
    </w:tbl>
    <w:p>
      <w:pPr>
        <w:spacing w:after="120" w:line="288" w:lineRule="auto"/>
      </w:pP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2</w:t>
      </w:r>
      <w:r>
        <w:rPr>
          <w:rFonts w:ascii="Calibri" w:hAnsi="Calibri"/>
          <w:b/>
          <w:color w:val="5E5E5E"/>
          <w:sz w:val="17"/>
        </w:rPr>
        <w:t xml:space="preserve">   ·   FAHRPLAN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Was heute passiert</w:t>
      </w: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1400"/>
        <w:gridCol w:w="5626"/>
        <w:gridCol w:w="2000"/>
      </w:tblGrid>
      <w:tr>
        <w:trPr>
          <w:tblHeader w:val="true"/>
          <w:cantSplit/>
        </w:trPr>
        <w:tc>
          <w:tcPr>
            <w:tcW w:w="1400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Minute</w:t>
            </w:r>
          </w:p>
        </w:tc>
        <w:tc>
          <w:tcPr>
            <w:tcW w:w="5626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Was</w:t>
            </w:r>
          </w:p>
        </w:tc>
        <w:tc>
          <w:tcPr>
            <w:tcW w:w="2000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Sozialform</w:t>
            </w:r>
          </w:p>
        </w:tc>
      </w:tr>
      <w:tr>
        <w:trPr>
          <w:cantSplit/>
        </w:trPr>
        <w:tc>
          <w:tcPr>
            <w:tcW w:w="1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00–08</w:t>
            </w:r>
          </w:p>
        </w:tc>
        <w:tc>
          <w:tcPr>
            <w:tcW w:w="56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Drei Titel, eine Abstimmung</w:t>
            </w:r>
          </w:p>
        </w:tc>
        <w:tc>
          <w:tcPr>
            <w:tcW w:w="2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Plenum</w:t>
            </w:r>
          </w:p>
        </w:tc>
      </w:tr>
      <w:tr>
        <w:trPr>
          <w:cantSplit/>
        </w:trPr>
        <w:tc>
          <w:tcPr>
            <w:tcW w:w="14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08–25</w:t>
            </w:r>
          </w:p>
        </w:tc>
        <w:tc>
          <w:tcPr>
            <w:tcW w:w="5626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Was die Erkundungsarbeit ist</w:t>
            </w:r>
          </w:p>
        </w:tc>
        <w:tc>
          <w:tcPr>
            <w:tcW w:w="20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Input</w:t>
            </w:r>
          </w:p>
        </w:tc>
      </w:tr>
      <w:tr>
        <w:trPr>
          <w:cantSplit/>
        </w:trPr>
        <w:tc>
          <w:tcPr>
            <w:tcW w:w="1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25–47</w:t>
            </w:r>
          </w:p>
        </w:tc>
        <w:tc>
          <w:tcPr>
            <w:tcW w:w="56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Erkundung oder nicht? – zwölf Karten</w:t>
            </w:r>
          </w:p>
        </w:tc>
        <w:tc>
          <w:tcPr>
            <w:tcW w:w="2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Partnerarbeit</w:t>
            </w:r>
          </w:p>
        </w:tc>
      </w:tr>
      <w:tr>
        <w:trPr>
          <w:cantSplit/>
        </w:trPr>
        <w:tc>
          <w:tcPr>
            <w:tcW w:w="14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47–62</w:t>
            </w:r>
          </w:p>
        </w:tc>
        <w:tc>
          <w:tcPr>
            <w:tcW w:w="5626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Auswertung und die drei Merkmale</w:t>
            </w:r>
          </w:p>
        </w:tc>
        <w:tc>
          <w:tcPr>
            <w:tcW w:w="20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Plenum</w:t>
            </w:r>
          </w:p>
        </w:tc>
      </w:tr>
      <w:tr>
        <w:trPr>
          <w:cantSplit/>
        </w:trPr>
        <w:tc>
          <w:tcPr>
            <w:tcW w:w="1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62–80</w:t>
            </w:r>
          </w:p>
        </w:tc>
        <w:tc>
          <w:tcPr>
            <w:tcW w:w="56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Eine echte Arbeit in die Hand nehmen</w:t>
            </w:r>
          </w:p>
        </w:tc>
        <w:tc>
          <w:tcPr>
            <w:tcW w:w="2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Gruppenarbeit</w:t>
            </w:r>
          </w:p>
        </w:tc>
      </w:tr>
      <w:tr>
        <w:trPr>
          <w:cantSplit/>
        </w:trPr>
        <w:tc>
          <w:tcPr>
            <w:tcW w:w="14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80–90</w:t>
            </w:r>
          </w:p>
        </w:tc>
        <w:tc>
          <w:tcPr>
            <w:tcW w:w="5626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Dein Auftrag bis zum nächsten Mal</w:t>
            </w:r>
          </w:p>
        </w:tc>
        <w:tc>
          <w:tcPr>
            <w:tcW w:w="20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Einzelarbeit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Kurz zeigen, nicht vorlesen. Wichtig ist nur: Am Ende hast du eine Liste mit zehn Interessen.</w:t>
            </w:r>
          </w:p>
        </w:tc>
      </w:tr>
    </w:tbl>
    <w:p>
      <w:pPr>
        <w:spacing w:after="120" w:line="288" w:lineRule="auto"/>
      </w:pPr>
    </w:p>
    <w:p>
      <w:r>
        <w:br w:type="page"/>
      </w: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3</w:t>
      </w:r>
      <w:r>
        <w:rPr>
          <w:rFonts w:ascii="Calibri" w:hAnsi="Calibri"/>
          <w:b/>
          <w:color w:val="5E5E5E"/>
          <w:sz w:val="17"/>
        </w:rPr>
        <w:t xml:space="preserve">   ·   ZUM EINSTIEG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Drei Titel, eine Abstimmung</w:t>
      </w: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900"/>
        <w:gridCol w:w="8126"/>
      </w:tblGrid>
      <w:tr>
        <w:trPr>
          <w:tblHeader w:val="true"/>
          <w:cantSplit/>
        </w:trPr>
        <w:tc>
          <w:tcPr>
            <w:tcW w:w="900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</w:p>
        </w:tc>
        <w:tc>
          <w:tcPr>
            <w:tcW w:w="8126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Titel an der Tafel</w:t>
            </w:r>
          </w:p>
        </w:tc>
      </w:tr>
      <w:tr>
        <w:trPr>
          <w:cantSplit/>
        </w:trPr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1"/>
              </w:rPr>
              <w:t xml:space="preserve">A</w:t>
            </w:r>
          </w:p>
        </w:tc>
        <w:tc>
          <w:tcPr>
            <w:tcW w:w="81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1"/>
              </w:rPr>
              <w:t xml:space="preserve">Die Geschichte der Zahl π von Archimedes bis heute</w:t>
            </w:r>
          </w:p>
        </w:tc>
      </w:tr>
      <w:tr>
        <w:trPr>
          <w:cantSplit/>
        </w:trPr>
        <w:tc>
          <w:tcPr>
            <w:tcW w:w="9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1"/>
              </w:rPr>
              <w:t xml:space="preserve">B</w:t>
            </w:r>
          </w:p>
        </w:tc>
        <w:tc>
          <w:tcPr>
            <w:tcW w:w="8126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1"/>
              </w:rPr>
              <w:t xml:space="preserve">Fibonacci-Zahlen in der Natur</w:t>
            </w:r>
          </w:p>
        </w:tc>
      </w:tr>
      <w:tr>
        <w:trPr>
          <w:cantSplit/>
        </w:trPr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1"/>
              </w:rPr>
              <w:t xml:space="preserve">C</w:t>
            </w:r>
          </w:p>
        </w:tc>
        <w:tc>
          <w:tcPr>
            <w:tcW w:w="81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1"/>
              </w:rPr>
              <w:t xml:space="preserve">Warum mein Bus morgens nie pünktlich ist</w:t>
            </w:r>
          </w:p>
        </w:tc>
      </w:tr>
    </w:tbl>
    <w:p>
      <w:pPr>
        <w:spacing w:after="120" w:line="288" w:lineRule="auto"/>
      </w:pPr>
    </w:p>
    <w:p>
      <w:pPr>
        <w:pStyle w:val="KPFließtext"/>
        <w:spacing w:line="288" w:lineRule="auto"/>
      </w:pPr>
      <w:r>
        <w:rPr>
          <w:rFonts w:ascii="Cambria" w:hAnsi="Cambria"/>
          <w:color w:val="1C1C1C"/>
          <w:sz w:val="22"/>
        </w:rPr>
        <w:t xml:space="preserve">Auf der Folie steht darunter: „Welcher dieser drei Titel taugt als Erkundungsarbeit? Handzeichen – A, B oder C.“ Und in kleiner Schrift: „Ich löse es noch nicht auf. Wir kommen am Ende der Stunde zurück.“</w:t>
      </w: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Stimmen an der Tafel festhalten. Nicht diskutieren, nicht auflösen. Das Ergebnis wird auf Folie 14 wieder gebraucht.</w:t>
            </w:r>
          </w:p>
        </w:tc>
      </w:tr>
    </w:tbl>
    <w:p>
      <w:pPr>
        <w:spacing w:after="120" w:line="288" w:lineRule="auto"/>
      </w:pP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4</w:t>
      </w:r>
      <w:r>
        <w:rPr>
          <w:rFonts w:ascii="Calibri" w:hAnsi="Calibri"/>
          <w:b/>
          <w:color w:val="5E5E5E"/>
          <w:sz w:val="17"/>
        </w:rPr>
        <w:t xml:space="preserve">   ·   WAS IST DAS?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Die Erkundungsarbeit</w:t>
      </w: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1F4EC"/>
            <w:tcBorders>
              <w:left w:val="single" w:sz="26" w:space="0" w:color="8FB840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4"/>
              </w:rPr>
              <w:t xml:space="preserve">Eine eigenständige schriftliche Untersuchung eines mathematischen Themas, das du selbst wählst.</w:t>
            </w:r>
          </w:p>
        </w:tc>
      </w:tr>
    </w:tbl>
    <w:p>
      <w:pPr>
        <w:spacing w:after="120" w:line="288" w:lineRule="auto"/>
      </w:pPr>
    </w:p>
    <w:p>
      <w:pPr>
        <w:pStyle w:val="KPUnterpunkt"/>
        <w:spacing w:line="288" w:lineRule="auto"/>
      </w:pPr>
      <w:r>
        <w:rPr>
          <w:rFonts w:ascii="Calibri" w:hAnsi="Calibri"/>
          <w:b/>
          <w:color w:val="0F3D2A"/>
          <w:sz w:val="21"/>
        </w:rPr>
        <w:t xml:space="preserve">Sie heißt im IB:</w:t>
      </w: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3000"/>
        <w:gridCol w:w="6026"/>
      </w:tblGrid>
      <w:tr>
        <w:trPr>
          <w:cantSplit/>
        </w:trPr>
        <w:tc>
          <w:tcPr>
            <w:tcW w:w="3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Erkundungsarbeit</w:t>
            </w:r>
          </w:p>
        </w:tc>
        <w:tc>
          <w:tcPr>
            <w:tcW w:w="60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so nennt sie das deutsche Handbuch</w:t>
            </w:r>
          </w:p>
        </w:tc>
      </w:tr>
      <w:tr>
        <w:trPr>
          <w:cantSplit/>
        </w:trPr>
        <w:tc>
          <w:tcPr>
            <w:tcW w:w="30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Mathematical Exploration</w:t>
            </w:r>
          </w:p>
        </w:tc>
        <w:tc>
          <w:tcPr>
            <w:tcW w:w="6026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so heißt sie im Original</w:t>
            </w:r>
          </w:p>
        </w:tc>
      </w:tr>
      <w:tr>
        <w:trPr>
          <w:cantSplit/>
        </w:trPr>
        <w:tc>
          <w:tcPr>
            <w:tcW w:w="3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IA  ·  Internal Assessment</w:t>
            </w:r>
          </w:p>
        </w:tc>
        <w:tc>
          <w:tcPr>
            <w:tcW w:w="60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so sagen es alle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2"/>
              </w:rPr>
              <w:t xml:space="preserve">Sie beantwortet eine Frage, die du selbst gestellt hast, mit Mathematik, die du selbst gemacht hast.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Der Merksatz ist der wichtigste Satz der Doppelstunde. Er kommt auf Folie 13 als Merkmal wieder.</w:t>
            </w:r>
          </w:p>
        </w:tc>
      </w:tr>
    </w:tbl>
    <w:p>
      <w:pPr>
        <w:spacing w:after="120" w:line="288" w:lineRule="auto"/>
      </w:pPr>
    </w:p>
    <w:p>
      <w:r>
        <w:br w:type="page"/>
      </w: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5</w:t>
      </w:r>
      <w:r>
        <w:rPr>
          <w:rFonts w:ascii="Calibri" w:hAnsi="Calibri"/>
          <w:b/>
          <w:color w:val="5E5E5E"/>
          <w:sz w:val="17"/>
        </w:rPr>
        <w:t xml:space="preserve">   ·   DIE ZAHLEN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Worum es geht</w:t>
      </w: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1400"/>
        <w:gridCol w:w="7626"/>
      </w:tblGrid>
      <w:tr>
        <w:trPr>
          <w:tblHeader w:val="true"/>
          <w:cantSplit/>
        </w:trPr>
        <w:tc>
          <w:tcPr>
            <w:tcW w:w="1400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</w:p>
        </w:tc>
        <w:tc>
          <w:tcPr>
            <w:tcW w:w="7626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Bedeutung</w:t>
            </w:r>
          </w:p>
        </w:tc>
      </w:tr>
      <w:tr>
        <w:trPr>
          <w:cantSplit/>
        </w:trPr>
        <w:tc>
          <w:tcPr>
            <w:tcW w:w="1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20 %</w:t>
            </w:r>
          </w:p>
        </w:tc>
        <w:tc>
          <w:tcPr>
            <w:tcW w:w="76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deiner Endnote in Mathematik – im Standard Level und im Higher Level gleich viel</w:t>
            </w:r>
          </w:p>
        </w:tc>
      </w:tr>
      <w:tr>
        <w:trPr>
          <w:cantSplit/>
        </w:trPr>
        <w:tc>
          <w:tcPr>
            <w:tcW w:w="14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12–20</w:t>
            </w:r>
          </w:p>
        </w:tc>
        <w:tc>
          <w:tcPr>
            <w:tcW w:w="7626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Seiten mit doppeltem Zeilenabstand, Grafiken eingerechnet</w:t>
            </w:r>
          </w:p>
        </w:tc>
      </w:tr>
      <w:tr>
        <w:trPr>
          <w:cantSplit/>
        </w:trPr>
        <w:tc>
          <w:tcPr>
            <w:tcW w:w="1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10–15</w:t>
            </w:r>
          </w:p>
        </w:tc>
        <w:tc>
          <w:tcPr>
            <w:tcW w:w="76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Unterrichtsstunden sieht die IB dafür insgesamt vor</w:t>
            </w:r>
          </w:p>
        </w:tc>
      </w:tr>
      <w:tr>
        <w:trPr>
          <w:cantSplit/>
        </w:trPr>
        <w:tc>
          <w:tcPr>
            <w:tcW w:w="14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20</w:t>
            </w:r>
          </w:p>
        </w:tc>
        <w:tc>
          <w:tcPr>
            <w:tcW w:w="7626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Punkte kannst du erreichen, verteilt auf fünf Kriterien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2"/>
              </w:rPr>
              <w:t xml:space="preserve">Zwanzig Prozent sind mehr als jede einzelne Klausur, die du in diesen zwei Jahren schreibst.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Kurz halten. Die Zahlen stehen alle auf M 1, das am Ende ausgeteilt wird.</w:t>
            </w:r>
          </w:p>
        </w:tc>
      </w:tr>
    </w:tbl>
    <w:p>
      <w:pPr>
        <w:spacing w:after="120" w:line="288" w:lineRule="auto"/>
      </w:pP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6</w:t>
      </w:r>
      <w:r>
        <w:rPr>
          <w:rFonts w:ascii="Calibri" w:hAnsi="Calibri"/>
          <w:b/>
          <w:color w:val="5E5E5E"/>
          <w:sz w:val="17"/>
        </w:rPr>
        <w:t xml:space="preserve">   ·   DIE WICHTIGSTE REGEL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Ohne Arbeit keine Note</w:t>
      </w: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8E7E7"/>
            <w:tcBorders>
              <w:left w:val="single" w:sz="26" w:space="0" w:color="C0272D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6"/>
              </w:rPr>
              <w:t xml:space="preserve">Wer keine Erkundungsarbeit einreicht, bekommt keine Note in Mathematik.</w:t>
            </w:r>
          </w:p>
        </w:tc>
      </w:tr>
    </w:tbl>
    <w:p>
      <w:pPr>
        <w:spacing w:after="120" w:line="288" w:lineRule="auto"/>
      </w:pPr>
    </w:p>
    <w:p>
      <w:pPr>
        <w:pStyle w:val="KPFließtext"/>
        <w:spacing w:line="288" w:lineRule="auto"/>
      </w:pPr>
      <w:r>
        <w:rPr>
          <w:rFonts w:ascii="Cambria" w:hAnsi="Cambria"/>
          <w:color w:val="1C1C1C"/>
          <w:sz w:val="22"/>
        </w:rPr>
        <w:t xml:space="preserve">Das ist keine Drohung von mir. Das steht so im Handbuch der IB.</w:t>
      </w: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2600"/>
        <w:gridCol w:w="6426"/>
      </w:tblGrid>
      <w:tr>
        <w:trPr>
          <w:cantSplit/>
        </w:trPr>
        <w:tc>
          <w:tcPr>
            <w:tcW w:w="2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Nicht abgegeben</w:t>
            </w:r>
          </w:p>
        </w:tc>
        <w:tc>
          <w:tcPr>
            <w:tcW w:w="64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Keine Note im Fach Mathematik. Kein Diplom.</w:t>
            </w:r>
          </w:p>
        </w:tc>
      </w:tr>
      <w:tr>
        <w:trPr>
          <w:cantSplit/>
        </w:trPr>
        <w:tc>
          <w:tcPr>
            <w:tcW w:w="26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Zu spät abgegeben</w:t>
            </w:r>
          </w:p>
        </w:tc>
        <w:tc>
          <w:tcPr>
            <w:tcW w:w="6426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Zählt wie nicht abgegeben. Deshalb stehen die Termine früh fest.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Ernst sagen, einmal, dann weitergehen. Nicht ausschmücken.</w:t>
            </w:r>
          </w:p>
        </w:tc>
      </w:tr>
    </w:tbl>
    <w:p>
      <w:pPr>
        <w:spacing w:after="120" w:line="288" w:lineRule="auto"/>
      </w:pPr>
    </w:p>
    <w:p>
      <w:r>
        <w:br w:type="page"/>
      </w: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7</w:t>
      </w:r>
      <w:r>
        <w:rPr>
          <w:rFonts w:ascii="Calibri" w:hAnsi="Calibri"/>
          <w:b/>
          <w:color w:val="5E5E5E"/>
          <w:sz w:val="17"/>
        </w:rPr>
        <w:t xml:space="preserve">   ·   WER BEWERTET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Zwei Instanzen</w:t>
      </w: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2600"/>
        <w:gridCol w:w="6426"/>
      </w:tblGrid>
      <w:tr>
        <w:trPr>
          <w:cantSplit/>
        </w:trPr>
        <w:tc>
          <w:tcPr>
            <w:tcW w:w="2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Ich bewerte</w:t>
            </w:r>
          </w:p>
        </w:tc>
        <w:tc>
          <w:tcPr>
            <w:tcW w:w="64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Ich lese deine Arbeit und vergebe für jedes der fünf Kriterien eine Punktzahl. Dazu schreibe ich an den Rand, wo und warum du eine Ebene erreicht hast.</w:t>
            </w:r>
          </w:p>
        </w:tc>
      </w:tr>
      <w:tr>
        <w:trPr>
          <w:cantSplit/>
        </w:trPr>
        <w:tc>
          <w:tcPr>
            <w:tcW w:w="26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Die IB prüft nach</w:t>
            </w:r>
          </w:p>
        </w:tc>
        <w:tc>
          <w:tcPr>
            <w:tcW w:w="6426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Eine Stichprobe aus unserer Schule geht zur Moderation an die IB. Die IB kann danach die Punkte des ganzen Kurses anheben oder absenken – auch deine, ohne dass deine Arbeit dabei war.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E7EFD8"/>
            <w:tcBorders>
              <w:left w:val="single" w:sz="26" w:space="0" w:color="8FB840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2"/>
              </w:rPr>
              <w:t xml:space="preserve">Deshalb bewerte ich streng nach den Kriterien und nicht danach, wie sympathisch mir dein Thema ist.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Der Hinweis auf die Moderation nimmt später die Diskussion über zu strenge Bewertung vorweg.</w:t>
            </w:r>
          </w:p>
        </w:tc>
      </w:tr>
    </w:tbl>
    <w:p>
      <w:pPr>
        <w:spacing w:after="120" w:line="288" w:lineRule="auto"/>
      </w:pP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8</w:t>
      </w:r>
      <w:r>
        <w:rPr>
          <w:rFonts w:ascii="Calibri" w:hAnsi="Calibri"/>
          <w:b/>
          <w:color w:val="5E5E5E"/>
          <w:sz w:val="17"/>
        </w:rPr>
        <w:t xml:space="preserve">   ·   ABGRENZUNG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Was eine Erkundungsarbeit nicht ist</w:t>
      </w: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2200"/>
        <w:gridCol w:w="3400"/>
        <w:gridCol w:w="3426"/>
      </w:tblGrid>
      <w:tr>
        <w:trPr>
          <w:tblHeader w:val="true"/>
          <w:cantSplit/>
        </w:trPr>
        <w:tc>
          <w:tcPr>
            <w:tcW w:w="2200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</w:p>
        </w:tc>
        <w:tc>
          <w:tcPr>
            <w:tcW w:w="3400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So nicht</w:t>
            </w:r>
          </w:p>
        </w:tc>
        <w:tc>
          <w:tcPr>
            <w:tcW w:w="3426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Sondern so</w:t>
            </w:r>
          </w:p>
        </w:tc>
      </w:tr>
      <w:tr>
        <w:trPr>
          <w:cantSplit/>
        </w:trPr>
        <w:tc>
          <w:tcPr>
            <w:tcW w:w="2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19"/>
              </w:rPr>
              <w:t xml:space="preserve">Ein Referat</w:t>
            </w:r>
          </w:p>
        </w:tc>
        <w:tc>
          <w:tcPr>
            <w:tcW w:w="3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19"/>
              </w:rPr>
              <w:t xml:space="preserve">Du trägst zusammen, was andere herausgefunden haben.</w:t>
            </w:r>
          </w:p>
        </w:tc>
        <w:tc>
          <w:tcPr>
            <w:tcW w:w="34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19"/>
              </w:rPr>
              <w:t xml:space="preserve">Du findest selbst etwas heraus.</w:t>
            </w:r>
          </w:p>
        </w:tc>
      </w:tr>
      <w:tr>
        <w:trPr>
          <w:cantSplit/>
        </w:trPr>
        <w:tc>
          <w:tcPr>
            <w:tcW w:w="22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19"/>
              </w:rPr>
              <w:t xml:space="preserve">Eine Facharbeit</w:t>
            </w:r>
          </w:p>
        </w:tc>
        <w:tc>
          <w:tcPr>
            <w:tcW w:w="34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19"/>
              </w:rPr>
              <w:t xml:space="preserve">Der Text steht im Mittelpunkt, die Mathematik illustriert ihn.</w:t>
            </w:r>
          </w:p>
        </w:tc>
        <w:tc>
          <w:tcPr>
            <w:tcW w:w="3426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19"/>
              </w:rPr>
              <w:t xml:space="preserve">Die Mathematik steht im Mittelpunkt, der Text führt durch sie hindurch.</w:t>
            </w:r>
          </w:p>
        </w:tc>
      </w:tr>
      <w:tr>
        <w:trPr>
          <w:cantSplit/>
        </w:trPr>
        <w:tc>
          <w:tcPr>
            <w:tcW w:w="2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19"/>
              </w:rPr>
              <w:t xml:space="preserve">Eine Zusammenfassung</w:t>
            </w:r>
          </w:p>
        </w:tc>
        <w:tc>
          <w:tcPr>
            <w:tcW w:w="3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19"/>
              </w:rPr>
              <w:t xml:space="preserve">Am Ende weiß der Leser mehr über das Thema.</w:t>
            </w:r>
          </w:p>
        </w:tc>
        <w:tc>
          <w:tcPr>
            <w:tcW w:w="34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19"/>
              </w:rPr>
              <w:t xml:space="preserve">Am Ende weiß der Leser die Antwort auf deine Frage.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Die mittlere Spalte ist das, was die meisten beim ersten Versuch abgeben.</w:t>
            </w:r>
          </w:p>
        </w:tc>
      </w:tr>
    </w:tbl>
    <w:p>
      <w:pPr>
        <w:spacing w:after="120" w:line="288" w:lineRule="auto"/>
      </w:pPr>
    </w:p>
    <w:p>
      <w:r>
        <w:br w:type="page"/>
      </w: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9</w:t>
      </w:r>
      <w:r>
        <w:rPr>
          <w:rFonts w:ascii="Calibri" w:hAnsi="Calibri"/>
          <w:b/>
          <w:color w:val="5E5E5E"/>
          <w:sz w:val="17"/>
        </w:rPr>
        <w:t xml:space="preserve">   ·   FORM UND SPIELREGELN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Drei Dinge vorab</w:t>
      </w: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2200"/>
        <w:gridCol w:w="6826"/>
      </w:tblGrid>
      <w:tr>
        <w:trPr>
          <w:cantSplit/>
        </w:trPr>
        <w:tc>
          <w:tcPr>
            <w:tcW w:w="2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Deckblatt</w:t>
            </w:r>
          </w:p>
        </w:tc>
        <w:tc>
          <w:tcPr>
            <w:tcW w:w="68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Nur zwei Angaben: der Titel deiner Arbeit und die Anzahl der Seiten. Mehr verlangt der IB nicht.</w:t>
            </w:r>
          </w:p>
        </w:tc>
      </w:tr>
      <w:tr>
        <w:trPr>
          <w:cantSplit/>
        </w:trPr>
        <w:tc>
          <w:tcPr>
            <w:tcW w:w="22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Quellen</w:t>
            </w:r>
          </w:p>
        </w:tc>
        <w:tc>
          <w:tcPr>
            <w:tcW w:w="6826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Alles wird angegeben – auch Bilder, Diagramme, Daten und Formeln. Fehlt das Verzeichnis, ist es ein Fall für die akademische Redlichkeit.</w:t>
            </w:r>
          </w:p>
        </w:tc>
      </w:tr>
      <w:tr>
        <w:trPr>
          <w:cantSplit/>
        </w:trPr>
        <w:tc>
          <w:tcPr>
            <w:tcW w:w="2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Rückmeldung</w:t>
            </w:r>
          </w:p>
        </w:tc>
        <w:tc>
          <w:tcPr>
            <w:tcW w:w="68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Mündlich berate ich dich, so oft du willst. Schriftlich genau einmal: zu deiner Rohfassung. Die nächste Fassung ist die endgültige.</w:t>
            </w:r>
          </w:p>
        </w:tc>
      </w:tr>
    </w:tbl>
    <w:p>
      <w:pPr>
        <w:spacing w:after="120" w:line="288" w:lineRule="auto"/>
      </w:pPr>
    </w:p>
    <w:p>
      <w:pPr>
        <w:pStyle w:val="KPFließtext"/>
        <w:spacing w:line="288" w:lineRule="auto"/>
      </w:pPr>
      <w:r>
        <w:rPr>
          <w:rFonts w:ascii="Cambria" w:hAnsi="Cambria"/>
          <w:color w:val="1C1C1C"/>
          <w:sz w:val="22"/>
        </w:rPr>
        <w:t xml:space="preserve">Und: Rat zu suchen kostet dich nie Punkte. Das steht so im Handbuch. Wer nicht fragt, verschenkt etwas.</w:t>
      </w: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Mehr Formalia kommen in Doppelstunde 6. Hier reichen diese drei.</w:t>
            </w:r>
          </w:p>
        </w:tc>
      </w:tr>
    </w:tbl>
    <w:p>
      <w:pPr>
        <w:spacing w:after="120" w:line="288" w:lineRule="auto"/>
      </w:pP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10</w:t>
      </w:r>
      <w:r>
        <w:rPr>
          <w:rFonts w:ascii="Calibri" w:hAnsi="Calibri"/>
          <w:b/>
          <w:color w:val="5E5E5E"/>
          <w:sz w:val="17"/>
        </w:rPr>
        <w:t xml:space="preserve">   ·   ARBEITSAUFTRAG 1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Erkundung oder nicht?</w:t>
      </w: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E7EFD8"/>
            <w:tcBorders>
              <w:left w:val="single" w:sz="26" w:space="0" w:color="8FB840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2"/>
              </w:rPr>
              <w:t xml:space="preserve">„Legt die zwölf Karten auf drei Stapel: Das ist eine Erkundungsarbeit. Das ist keine. Das kommt darauf an.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2"/>
              </w:rPr>
              <w:t xml:space="preserve">Bei jeder Karte, die auf den dritten Stapel kommt, schreibt ihr dazu, was fehlt.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2"/>
              </w:rPr>
              <w:t xml:space="preserve">Danach: Schreibt in einem Satz auf, woran ihr es erkannt habt.“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2256"/>
        <w:gridCol w:w="2256"/>
        <w:gridCol w:w="2257"/>
        <w:gridCol w:w="2257"/>
      </w:tblGrid>
      <w:tr>
        <w:trPr>
          <w:tblHeader w:val="true"/>
          <w:cantSplit/>
        </w:trPr>
        <w:tc>
          <w:tcPr>
            <w:tcW w:w="2256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Zeit</w:t>
            </w:r>
          </w:p>
        </w:tc>
        <w:tc>
          <w:tcPr>
            <w:tcW w:w="2256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Karten</w:t>
            </w:r>
          </w:p>
        </w:tc>
        <w:tc>
          <w:tcPr>
            <w:tcW w:w="2257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Stapel</w:t>
            </w:r>
          </w:p>
        </w:tc>
        <w:tc>
          <w:tcPr>
            <w:tcW w:w="2257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Material</w:t>
            </w:r>
          </w:p>
        </w:tc>
      </w:tr>
      <w:tr>
        <w:trPr>
          <w:cantSplit/>
        </w:trPr>
        <w:tc>
          <w:tcPr>
            <w:tcW w:w="225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22 Minuten</w:t>
            </w:r>
          </w:p>
        </w:tc>
        <w:tc>
          <w:tcPr>
            <w:tcW w:w="225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12</w:t>
            </w:r>
          </w:p>
        </w:tc>
        <w:tc>
          <w:tcPr>
            <w:tcW w:w="2257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3</w:t>
            </w:r>
          </w:p>
        </w:tc>
        <w:tc>
          <w:tcPr>
            <w:tcW w:w="2257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M 2</w:t>
            </w:r>
          </w:p>
        </w:tc>
      </w:tr>
    </w:tbl>
    <w:p>
      <w:pPr>
        <w:spacing w:after="120" w:line="288" w:lineRule="auto"/>
      </w:pPr>
    </w:p>
    <w:p>
      <w:pPr>
        <w:pStyle w:val="KPFließtext"/>
        <w:spacing w:line="288" w:lineRule="auto"/>
      </w:pPr>
      <w:r>
        <w:rPr>
          <w:rFonts w:ascii="Cambria" w:hAnsi="Cambria"/>
          <w:color w:val="1C1C1C"/>
          <w:sz w:val="22"/>
        </w:rPr>
        <w:t xml:space="preserve">Auf der Folie steht darunter: „Ihr müsst euch nicht einig werden. Uneinigkeit notieren ist genauso viel wert.“</w:t>
      </w: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Auftrag vorlesen lassen, nicht selbst vorlesen. Nach 12 Minuten Zwischenruf: Ihr solltet bei Karte 7 sein.</w:t>
            </w:r>
          </w:p>
        </w:tc>
      </w:tr>
    </w:tbl>
    <w:p>
      <w:pPr>
        <w:spacing w:after="120" w:line="288" w:lineRule="auto"/>
      </w:pPr>
    </w:p>
    <w:p>
      <w:r>
        <w:br w:type="page"/>
      </w: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11</w:t>
      </w:r>
      <w:r>
        <w:rPr>
          <w:rFonts w:ascii="Calibri" w:hAnsi="Calibri"/>
          <w:b/>
          <w:color w:val="5E5E5E"/>
          <w:sz w:val="17"/>
        </w:rPr>
        <w:t xml:space="preserve">   ·   PARTNERARBEIT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So arbeitet ihr zusammen</w:t>
      </w: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700"/>
        <w:gridCol w:w="3800"/>
        <w:gridCol w:w="700"/>
        <w:gridCol w:w="3826"/>
      </w:tblGrid>
      <w:tr>
        <w:trPr>
          <w:tblHeader w:val="true"/>
          <w:cantSplit/>
        </w:trPr>
        <w:tc>
          <w:tcPr>
            <w:tcW w:w="700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Paar</w:t>
            </w:r>
          </w:p>
        </w:tc>
        <w:tc>
          <w:tcPr>
            <w:tcW w:w="3800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</w:p>
        </w:tc>
        <w:tc>
          <w:tcPr>
            <w:tcW w:w="700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Paar</w:t>
            </w:r>
          </w:p>
        </w:tc>
        <w:tc>
          <w:tcPr>
            <w:tcW w:w="3826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1"/>
              </w:rPr>
              <w:t xml:space="preserve">1</w:t>
            </w:r>
          </w:p>
        </w:tc>
        <w:tc>
          <w:tcPr>
            <w:tcW w:w="38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1"/>
              </w:rPr>
              <w:t xml:space="preserve">Name 1 und Name 2</w:t>
            </w:r>
          </w:p>
        </w:tc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1"/>
              </w:rPr>
              <w:t xml:space="preserve">2</w:t>
            </w:r>
          </w:p>
        </w:tc>
        <w:tc>
          <w:tcPr>
            <w:tcW w:w="38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1"/>
              </w:rPr>
              <w:t xml:space="preserve">Name 3 und Name 4</w:t>
            </w:r>
          </w:p>
        </w:tc>
      </w:tr>
      <w:tr>
        <w:trPr>
          <w:cantSplit/>
        </w:trPr>
        <w:tc>
          <w:tcPr>
            <w:tcW w:w="7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1"/>
              </w:rPr>
              <w:t xml:space="preserve">3</w:t>
            </w:r>
          </w:p>
        </w:tc>
        <w:tc>
          <w:tcPr>
            <w:tcW w:w="38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1"/>
              </w:rPr>
              <w:t xml:space="preserve">Name 5 und Name 6</w:t>
            </w:r>
          </w:p>
        </w:tc>
        <w:tc>
          <w:tcPr>
            <w:tcW w:w="7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1"/>
              </w:rPr>
              <w:t xml:space="preserve">4</w:t>
            </w:r>
          </w:p>
        </w:tc>
        <w:tc>
          <w:tcPr>
            <w:tcW w:w="3826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1"/>
              </w:rPr>
              <w:t xml:space="preserve">Name 7 und Name 8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E7EFD8"/>
            <w:tcBorders>
              <w:left w:val="single" w:sz="26" w:space="0" w:color="8FB840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0F3D2A"/>
                <w:sz w:val="22"/>
              </w:rPr>
              <w:t xml:space="preserve">Name 9  ·  Name 10  ·  Name 11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Ihr seid zu dritt: Einer liest die Karte vor, die beiden anderen ordnen zu. Nach jeder Karte wechselt der Vorleser.</w:t>
            </w:r>
          </w:p>
        </w:tc>
      </w:tr>
    </w:tbl>
    <w:p>
      <w:pPr>
        <w:spacing w:after="120" w:line="288" w:lineRule="auto"/>
      </w:pPr>
    </w:p>
    <w:p>
      <w:pPr>
        <w:pStyle w:val="KPFließtext"/>
        <w:spacing w:line="288" w:lineRule="auto"/>
      </w:pPr>
      <w:r>
        <w:rPr>
          <w:rFonts w:ascii="Cambria" w:hAnsi="Cambria"/>
          <w:color w:val="1C1C1C"/>
          <w:sz w:val="22"/>
        </w:rPr>
        <w:t xml:space="preserve">Ein Stapel pro Paar. Die Karten bleiben liegen – wir brauchen sie gleich für die Auswertung.</w:t>
      </w: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Zusammensetzen lassen, bevor der Auftrag startet. Kartensätze erst danach austeilen.</w:t>
            </w:r>
          </w:p>
        </w:tc>
      </w:tr>
    </w:tbl>
    <w:p>
      <w:pPr>
        <w:spacing w:after="120" w:line="288" w:lineRule="auto"/>
      </w:pP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12</w:t>
      </w:r>
      <w:r>
        <w:rPr>
          <w:rFonts w:ascii="Calibri" w:hAnsi="Calibri"/>
          <w:b/>
          <w:color w:val="5E5E5E"/>
          <w:sz w:val="17"/>
        </w:rPr>
        <w:t xml:space="preserve">   ·   AUSWERTUNG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Die drei Stapel</w:t>
      </w: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3008"/>
        <w:gridCol w:w="3009"/>
        <w:gridCol w:w="3009"/>
      </w:tblGrid>
      <w:tr>
        <w:trPr>
          <w:tblHeader w:val="true"/>
          <w:cantSplit/>
        </w:trPr>
        <w:tc>
          <w:tcPr>
            <w:tcW w:w="3008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Das ist eine Erkundung</w:t>
            </w:r>
          </w:p>
        </w:tc>
        <w:tc>
          <w:tcPr>
            <w:tcW w:w="3009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Das kommt darauf an</w:t>
            </w:r>
          </w:p>
        </w:tc>
        <w:tc>
          <w:tcPr>
            <w:tcW w:w="3009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Das ist keine</w:t>
            </w:r>
          </w:p>
        </w:tc>
      </w:tr>
      <w:tr>
        <w:trPr>
          <w:cantSplit/>
        </w:trPr>
        <w:tc>
          <w:tcPr>
            <w:tcW w:w="300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19"/>
              </w:rPr>
              <w:t xml:space="preserve">Nummern der Karten:</w:t>
            </w:r>
          </w:p>
          <w:p>
            <w:pPr>
              <w:spacing w:after="40" w:line="264" w:lineRule="auto"/>
            </w:pPr>
          </w:p>
          <w:p>
            <w:pPr>
              <w:spacing w:after="0" w:line="264" w:lineRule="auto"/>
            </w:pPr>
          </w:p>
        </w:tc>
        <w:tc>
          <w:tcPr>
            <w:tcW w:w="3009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19"/>
              </w:rPr>
              <w:t xml:space="preserve">Nummern der Karten:</w:t>
            </w:r>
          </w:p>
          <w:p>
            <w:pPr>
              <w:spacing w:after="40" w:line="264" w:lineRule="auto"/>
            </w:pPr>
          </w:p>
          <w:p>
            <w:pPr>
              <w:spacing w:after="0" w:line="264" w:lineRule="auto"/>
            </w:pPr>
          </w:p>
        </w:tc>
        <w:tc>
          <w:tcPr>
            <w:tcW w:w="3009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19"/>
              </w:rPr>
              <w:t xml:space="preserve">Nummern der Karten:</w:t>
            </w:r>
          </w:p>
          <w:p>
            <w:pPr>
              <w:spacing w:after="40" w:line="264" w:lineRule="auto"/>
            </w:pPr>
          </w:p>
          <w:p>
            <w:pPr>
              <w:spacing w:after="0" w:line="264" w:lineRule="auto"/>
            </w:pPr>
          </w:p>
        </w:tc>
      </w:tr>
    </w:tbl>
    <w:p>
      <w:pPr>
        <w:spacing w:after="120" w:line="288" w:lineRule="auto"/>
      </w:pPr>
    </w:p>
    <w:p>
      <w:pPr>
        <w:pStyle w:val="KPFließtext"/>
        <w:spacing w:line="288" w:lineRule="auto"/>
      </w:pPr>
      <w:r>
        <w:rPr>
          <w:rFonts w:ascii="Cambria" w:hAnsi="Cambria"/>
          <w:color w:val="1C1C1C"/>
          <w:sz w:val="22"/>
        </w:rPr>
        <w:t xml:space="preserve">Wo liegen zwei Paare auseinander? Genau diese Karten besprechen wir – die anderen nicht.</w:t>
      </w: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Die Nummern an der Tafel sammeln, nicht auf der Folie. Nur strittige Karten besprechen – sonst reicht die Zeit nicht.</w:t>
            </w:r>
          </w:p>
        </w:tc>
      </w:tr>
    </w:tbl>
    <w:p>
      <w:pPr>
        <w:spacing w:after="120" w:line="288" w:lineRule="auto"/>
      </w:pPr>
    </w:p>
    <w:p>
      <w:r>
        <w:br w:type="page"/>
      </w: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13</w:t>
      </w:r>
      <w:r>
        <w:rPr>
          <w:rFonts w:ascii="Calibri" w:hAnsi="Calibri"/>
          <w:b/>
          <w:color w:val="5E5E5E"/>
          <w:sz w:val="17"/>
        </w:rPr>
        <w:t xml:space="preserve">   ·   SICHERUNG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Drei Merkmale einer Erkundungsarbeit</w:t>
      </w: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600"/>
        <w:gridCol w:w="2400"/>
        <w:gridCol w:w="6026"/>
      </w:tblGrid>
      <w:tr>
        <w:trPr>
          <w:tblHeader w:val="true"/>
          <w:cantSplit/>
        </w:trPr>
        <w:tc>
          <w:tcPr>
            <w:tcW w:w="600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</w:p>
        </w:tc>
        <w:tc>
          <w:tcPr>
            <w:tcW w:w="2400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Merkmal</w:t>
            </w:r>
          </w:p>
        </w:tc>
        <w:tc>
          <w:tcPr>
            <w:tcW w:w="6026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Was es heißt</w:t>
            </w:r>
          </w:p>
        </w:tc>
      </w:tr>
      <w:tr>
        <w:trPr>
          <w:cantSplit/>
        </w:trPr>
        <w:tc>
          <w:tcPr>
            <w:tcW w:w="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1</w:t>
            </w:r>
          </w:p>
        </w:tc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Eine eigene Frage</w:t>
            </w:r>
          </w:p>
        </w:tc>
        <w:tc>
          <w:tcPr>
            <w:tcW w:w="60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Nicht „über etwas schreiben“, sondern etwas herausfinden wollen. Deine Arbeit endet mit einer Antwort, nicht mit einer Zusammenfassung.</w:t>
            </w:r>
          </w:p>
        </w:tc>
      </w:tr>
      <w:tr>
        <w:trPr>
          <w:cantSplit/>
        </w:trPr>
        <w:tc>
          <w:tcPr>
            <w:tcW w:w="6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2</w:t>
            </w:r>
          </w:p>
        </w:tc>
        <w:tc>
          <w:tcPr>
            <w:tcW w:w="24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Eigene Mathematik</w:t>
            </w:r>
          </w:p>
        </w:tc>
        <w:tc>
          <w:tcPr>
            <w:tcW w:w="6026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Du rechnest, modellierst, beweist. Du berichtest nicht, was andere gerechnet haben.</w:t>
            </w:r>
          </w:p>
        </w:tc>
      </w:tr>
      <w:tr>
        <w:trPr>
          <w:cantSplit/>
        </w:trPr>
        <w:tc>
          <w:tcPr>
            <w:tcW w:w="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3</w:t>
            </w:r>
          </w:p>
        </w:tc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Ein eigener Zugriff</w:t>
            </w:r>
          </w:p>
        </w:tc>
        <w:tc>
          <w:tcPr>
            <w:tcW w:w="60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Man merkt beim Lesen, dass genau du diese Arbeit geschrieben hast – an der Frage, an den Daten, an den Umwegen.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2"/>
              </w:rPr>
              <w:t xml:space="preserve">Gegenprobe: Wenn deine Arbeit durch eine gute Wikipedia-Seite ersetzt werden könnte, ist es keine Erkundung.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Das ist Tafelbild 1 aus dem Ablaufplan. Mitschreiben lassen – es kommt in Doppelstunde 4 wieder.</w:t>
            </w:r>
          </w:p>
        </w:tc>
      </w:tr>
    </w:tbl>
    <w:p>
      <w:pPr>
        <w:spacing w:after="120" w:line="288" w:lineRule="auto"/>
      </w:pP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14</w:t>
      </w:r>
      <w:r>
        <w:rPr>
          <w:rFonts w:ascii="Calibri" w:hAnsi="Calibri"/>
          <w:b/>
          <w:color w:val="5E5E5E"/>
          <w:sz w:val="17"/>
        </w:rPr>
        <w:t xml:space="preserve">   ·   AUFLÖSUNG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Zurück zu den drei Titeln</w:t>
      </w: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600"/>
        <w:gridCol w:w="2600"/>
        <w:gridCol w:w="5826"/>
      </w:tblGrid>
      <w:tr>
        <w:trPr>
          <w:tblHeader w:val="true"/>
          <w:cantSplit/>
        </w:trPr>
        <w:tc>
          <w:tcPr>
            <w:tcW w:w="600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</w:p>
        </w:tc>
        <w:tc>
          <w:tcPr>
            <w:tcW w:w="2600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Titel</w:t>
            </w:r>
          </w:p>
        </w:tc>
        <w:tc>
          <w:tcPr>
            <w:tcW w:w="5826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Urteil</w:t>
            </w:r>
          </w:p>
        </w:tc>
      </w:tr>
      <w:tr>
        <w:trPr>
          <w:cantSplit/>
        </w:trPr>
        <w:tc>
          <w:tcPr>
            <w:tcW w:w="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19"/>
              </w:rPr>
              <w:t xml:space="preserve">A</w:t>
            </w:r>
          </w:p>
        </w:tc>
        <w:tc>
          <w:tcPr>
            <w:tcW w:w="2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19"/>
              </w:rPr>
              <w:t xml:space="preserve">Die Geschichte der Zahl π</w:t>
            </w:r>
          </w:p>
        </w:tc>
        <w:tc>
          <w:tcPr>
            <w:tcW w:w="58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19"/>
              </w:rPr>
              <w:t xml:space="preserve">Keine Erkundung. Ein Referat. Die Lehrerhandreichungen der IB sagen ausdrücklich: rein beschreibende historische Themen sind nicht geeignet.</w:t>
            </w:r>
          </w:p>
        </w:tc>
      </w:tr>
      <w:tr>
        <w:trPr>
          <w:cantSplit/>
        </w:trPr>
        <w:tc>
          <w:tcPr>
            <w:tcW w:w="6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19"/>
              </w:rPr>
              <w:t xml:space="preserve">B</w:t>
            </w:r>
          </w:p>
        </w:tc>
        <w:tc>
          <w:tcPr>
            <w:tcW w:w="26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19"/>
              </w:rPr>
              <w:t xml:space="preserve">Fibonacci-Zahlen in der Natur</w:t>
            </w:r>
          </w:p>
        </w:tc>
        <w:tc>
          <w:tcPr>
            <w:tcW w:w="5826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19"/>
              </w:rPr>
              <w:t xml:space="preserve">Noch keine Erkundung. Das ist ein Thema, keine Frage. Es könnte eine werden – zum Beispiel: Wie gut sagt die Fibonacci-Folge die Zahl der Spiralen in den Sonnenblumen in unserem Schulgarten voraus?</w:t>
            </w:r>
          </w:p>
        </w:tc>
      </w:tr>
      <w:tr>
        <w:trPr>
          <w:cantSplit/>
        </w:trPr>
        <w:tc>
          <w:tcPr>
            <w:tcW w:w="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19"/>
              </w:rPr>
              <w:t xml:space="preserve">C</w:t>
            </w:r>
          </w:p>
        </w:tc>
        <w:tc>
          <w:tcPr>
            <w:tcW w:w="2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19"/>
              </w:rPr>
              <w:t xml:space="preserve">Warum mein Bus morgens nie pünktlich ist</w:t>
            </w:r>
          </w:p>
        </w:tc>
        <w:tc>
          <w:tcPr>
            <w:tcW w:w="58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19"/>
              </w:rPr>
              <w:t xml:space="preserve">Fast. Es steckt eine Frage darin und es gibt eigene Daten. Aber „warum“ ist noch zu weit. Besser: Wie gut beschreibt eine Normalverteilung die Verspätungen meiner Buslinie über vier Wochen?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Erst das Abstimmungsergebnis von Folie 3 vorlesen, dann auflösen. Pointe: Auch C ist noch nicht fertig.</w:t>
            </w:r>
          </w:p>
        </w:tc>
      </w:tr>
    </w:tbl>
    <w:p>
      <w:pPr>
        <w:spacing w:after="120" w:line="288" w:lineRule="auto"/>
      </w:pPr>
    </w:p>
    <w:p>
      <w:r>
        <w:br w:type="page"/>
      </w: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15</w:t>
      </w:r>
      <w:r>
        <w:rPr>
          <w:rFonts w:ascii="Calibri" w:hAnsi="Calibri"/>
          <w:b/>
          <w:color w:val="5E5E5E"/>
          <w:sz w:val="17"/>
        </w:rPr>
        <w:t xml:space="preserve">   ·   ARBEITSAUFTRAG 2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Neun Klebepunkte</w:t>
      </w: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E7EFD8"/>
            <w:tcBorders>
              <w:left w:val="single" w:sz="26" w:space="0" w:color="8FB840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2"/>
              </w:rPr>
              <w:t xml:space="preserve">„Blättert die Arbeit durch, lest nicht alles.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2"/>
              </w:rPr>
              <w:t xml:space="preserve">Setzt eure neun Punkte. Ihr müsst nichts begründen – noch nicht.“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1400"/>
        <w:gridCol w:w="1200"/>
        <w:gridCol w:w="6426"/>
      </w:tblGrid>
      <w:tr>
        <w:trPr>
          <w:tblHeader w:val="true"/>
          <w:cantSplit/>
        </w:trPr>
        <w:tc>
          <w:tcPr>
            <w:tcW w:w="1400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Farbe</w:t>
            </w:r>
          </w:p>
        </w:tc>
        <w:tc>
          <w:tcPr>
            <w:tcW w:w="1200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Anzahl</w:t>
            </w:r>
          </w:p>
        </w:tc>
        <w:tc>
          <w:tcPr>
            <w:tcW w:w="6426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Bedeutet</w:t>
            </w:r>
          </w:p>
        </w:tc>
      </w:tr>
      <w:tr>
        <w:trPr>
          <w:cantSplit/>
        </w:trPr>
        <w:tc>
          <w:tcPr>
            <w:tcW w:w="1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grün</w:t>
            </w:r>
          </w:p>
        </w:tc>
        <w:tc>
          <w:tcPr>
            <w:tcW w:w="1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3</w:t>
            </w:r>
          </w:p>
        </w:tc>
        <w:tc>
          <w:tcPr>
            <w:tcW w:w="64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hier verstehe ich, was untersucht wird</w:t>
            </w:r>
          </w:p>
        </w:tc>
      </w:tr>
      <w:tr>
        <w:trPr>
          <w:cantSplit/>
        </w:trPr>
        <w:tc>
          <w:tcPr>
            <w:tcW w:w="14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gelb</w:t>
            </w:r>
          </w:p>
        </w:tc>
        <w:tc>
          <w:tcPr>
            <w:tcW w:w="12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3</w:t>
            </w:r>
          </w:p>
        </w:tc>
        <w:tc>
          <w:tcPr>
            <w:tcW w:w="6426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hier wird wirklich gerechnet</w:t>
            </w:r>
          </w:p>
        </w:tc>
      </w:tr>
      <w:tr>
        <w:trPr>
          <w:cantSplit/>
        </w:trPr>
        <w:tc>
          <w:tcPr>
            <w:tcW w:w="1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rot</w:t>
            </w:r>
          </w:p>
        </w:tc>
        <w:tc>
          <w:tcPr>
            <w:tcW w:w="1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3</w:t>
            </w:r>
          </w:p>
        </w:tc>
        <w:tc>
          <w:tcPr>
            <w:tcW w:w="64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hier merkt man, dass da eine Person schreibt</w:t>
            </w:r>
          </w:p>
        </w:tc>
      </w:tr>
    </w:tbl>
    <w:p>
      <w:pPr>
        <w:spacing w:after="120" w:line="288" w:lineRule="auto"/>
      </w:pPr>
    </w:p>
    <w:p>
      <w:pPr>
        <w:pStyle w:val="KPFließtext"/>
        <w:spacing w:line="288" w:lineRule="auto"/>
      </w:pPr>
      <w:r>
        <w:rPr>
          <w:rFonts w:ascii="Cambria" w:hAnsi="Cambria"/>
          <w:color w:val="1C1C1C"/>
          <w:sz w:val="22"/>
        </w:rPr>
        <w:t xml:space="preserve">18 Minuten. Eine Arbeit pro Gruppe. Nicht lesen – überfliegen. Gelesen wird sie in Doppelstunde 5.</w:t>
      </w: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Muster B austeilen, eine Kopie je Gruppe. Klebepunkte in drei Farben, je neun. Die Unruhe kommt daher, dass alle lesen wollen – nochmal ansagen: überfliegen.</w:t>
            </w:r>
          </w:p>
        </w:tc>
      </w:tr>
    </w:tbl>
    <w:p>
      <w:pPr>
        <w:spacing w:after="120" w:line="288" w:lineRule="auto"/>
      </w:pP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16</w:t>
      </w:r>
      <w:r>
        <w:rPr>
          <w:rFonts w:ascii="Calibri" w:hAnsi="Calibri"/>
          <w:b/>
          <w:color w:val="5E5E5E"/>
          <w:sz w:val="17"/>
        </w:rPr>
        <w:t xml:space="preserve">   ·   GRUPPENARBEIT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So sitzt ihr jetzt</w:t>
      </w: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3008"/>
        <w:gridCol w:w="3009"/>
        <w:gridCol w:w="3009"/>
      </w:tblGrid>
      <w:tr>
        <w:trPr>
          <w:tblHeader w:val="true"/>
          <w:cantSplit/>
        </w:trPr>
        <w:tc>
          <w:tcPr>
            <w:tcW w:w="3008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Gruppe 1</w:t>
            </w:r>
          </w:p>
        </w:tc>
        <w:tc>
          <w:tcPr>
            <w:tcW w:w="3009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Gruppe 2</w:t>
            </w:r>
          </w:p>
        </w:tc>
        <w:tc>
          <w:tcPr>
            <w:tcW w:w="3009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Gruppe 3</w:t>
            </w:r>
          </w:p>
        </w:tc>
      </w:tr>
      <w:tr>
        <w:trPr>
          <w:cantSplit/>
        </w:trPr>
        <w:tc>
          <w:tcPr>
            <w:tcW w:w="300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21"/>
              </w:rPr>
              <w:t xml:space="preserve">Name 1</w:t>
            </w:r>
          </w:p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21"/>
              </w:rPr>
              <w:t xml:space="preserve">Name 2</w:t>
            </w:r>
          </w:p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21"/>
              </w:rPr>
              <w:t xml:space="preserve">Name 3</w:t>
            </w:r>
          </w:p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1"/>
              </w:rPr>
              <w:t xml:space="preserve">Name 4</w:t>
            </w:r>
          </w:p>
        </w:tc>
        <w:tc>
          <w:tcPr>
            <w:tcW w:w="3009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21"/>
              </w:rPr>
              <w:t xml:space="preserve">Name 5</w:t>
            </w:r>
          </w:p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21"/>
              </w:rPr>
              <w:t xml:space="preserve">Name 6</w:t>
            </w:r>
          </w:p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21"/>
              </w:rPr>
              <w:t xml:space="preserve">Name 7</w:t>
            </w:r>
          </w:p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1"/>
              </w:rPr>
              <w:t xml:space="preserve">Name 8</w:t>
            </w:r>
          </w:p>
        </w:tc>
        <w:tc>
          <w:tcPr>
            <w:tcW w:w="3009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21"/>
              </w:rPr>
              <w:t xml:space="preserve">Name 9</w:t>
            </w:r>
          </w:p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21"/>
              </w:rPr>
              <w:t xml:space="preserve">Name 10</w:t>
            </w:r>
          </w:p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1"/>
              </w:rPr>
              <w:t xml:space="preserve">Name 11</w:t>
            </w:r>
          </w:p>
        </w:tc>
      </w:tr>
    </w:tbl>
    <w:p>
      <w:pPr>
        <w:spacing w:after="120" w:line="288" w:lineRule="auto"/>
      </w:pPr>
    </w:p>
    <w:p>
      <w:pPr>
        <w:pStyle w:val="KPFließtext"/>
        <w:spacing w:line="288" w:lineRule="auto"/>
      </w:pPr>
      <w:r>
        <w:rPr>
          <w:rFonts w:ascii="Cambria" w:hAnsi="Cambria"/>
          <w:color w:val="1C1C1C"/>
          <w:sz w:val="22"/>
        </w:rPr>
        <w:t xml:space="preserve">Gruppe 1 und 2 sind je zwei Partnergruppen. Gruppe 3 bleibt zu dritt und bekommt dieselbe Arbeit.</w:t>
      </w: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Umsetzen lassen, bevor die Arbeiten verteilt werden. Drei Kopien von Muster B genügen.</w:t>
            </w:r>
          </w:p>
        </w:tc>
      </w:tr>
    </w:tbl>
    <w:p>
      <w:pPr>
        <w:spacing w:after="120" w:line="288" w:lineRule="auto"/>
      </w:pPr>
    </w:p>
    <w:p>
      <w:r>
        <w:br w:type="page"/>
      </w: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17</w:t>
      </w:r>
      <w:r>
        <w:rPr>
          <w:rFonts w:ascii="Calibri" w:hAnsi="Calibri"/>
          <w:b/>
          <w:color w:val="5E5E5E"/>
          <w:sz w:val="17"/>
        </w:rPr>
        <w:t xml:space="preserve">   ·   KURZ GESAMMELT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Was ist euch aufgefallen?</w:t>
      </w: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600"/>
        <w:gridCol w:w="8426"/>
      </w:tblGrid>
      <w:tr>
        <w:trPr>
          <w:tblHeader w:val="true"/>
          <w:cantSplit/>
        </w:trPr>
        <w:tc>
          <w:tcPr>
            <w:tcW w:w="600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</w:p>
        </w:tc>
        <w:tc>
          <w:tcPr>
            <w:tcW w:w="8426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Frage</w:t>
            </w:r>
          </w:p>
        </w:tc>
      </w:tr>
      <w:tr>
        <w:trPr>
          <w:cantSplit/>
        </w:trPr>
        <w:tc>
          <w:tcPr>
            <w:tcW w:w="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1</w:t>
            </w:r>
          </w:p>
        </w:tc>
        <w:tc>
          <w:tcPr>
            <w:tcW w:w="84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Wo klebt bei euch der erste grüne Punkt – und auf welcher Seite?</w:t>
            </w:r>
          </w:p>
        </w:tc>
      </w:tr>
      <w:tr>
        <w:trPr>
          <w:cantSplit/>
        </w:trPr>
        <w:tc>
          <w:tcPr>
            <w:tcW w:w="6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2</w:t>
            </w:r>
          </w:p>
        </w:tc>
        <w:tc>
          <w:tcPr>
            <w:tcW w:w="8426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Gibt es eine Seite ganz ohne Punkte? Woran liegt das?</w:t>
            </w:r>
          </w:p>
        </w:tc>
      </w:tr>
      <w:tr>
        <w:trPr>
          <w:cantSplit/>
        </w:trPr>
        <w:tc>
          <w:tcPr>
            <w:tcW w:w="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3</w:t>
            </w:r>
          </w:p>
        </w:tc>
        <w:tc>
          <w:tcPr>
            <w:tcW w:w="84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Wo klebt der rote Punkt? Was steht dort, das in keinem Lehrbuch stehen würde?</w:t>
            </w:r>
          </w:p>
        </w:tc>
      </w:tr>
    </w:tbl>
    <w:p>
      <w:pPr>
        <w:spacing w:after="120" w:line="288" w:lineRule="auto"/>
      </w:pPr>
    </w:p>
    <w:p>
      <w:pPr>
        <w:pStyle w:val="KPFließtext"/>
        <w:spacing w:line="288" w:lineRule="auto"/>
      </w:pPr>
      <w:r>
        <w:rPr>
          <w:rFonts w:ascii="Cambria" w:hAnsi="Cambria"/>
          <w:color w:val="1C1C1C"/>
          <w:sz w:val="22"/>
        </w:rPr>
        <w:t xml:space="preserve">Noch keine Bewertung. Wir sammeln nur Eindrücke. Diese Arbeit bekommt ihr in Doppelstunde 5 zurück – dann bewertet ihr sie mit allen fünf Kriterien.</w:t>
      </w: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Fünf Minuten, nicht mehr. Je Gruppe eine Antwort.</w:t>
            </w:r>
          </w:p>
        </w:tc>
      </w:tr>
    </w:tbl>
    <w:p>
      <w:pPr>
        <w:spacing w:after="120" w:line="288" w:lineRule="auto"/>
      </w:pP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18</w:t>
      </w:r>
      <w:r>
        <w:rPr>
          <w:rFonts w:ascii="Calibri" w:hAnsi="Calibri"/>
          <w:b/>
          <w:color w:val="5E5E5E"/>
          <w:sz w:val="17"/>
        </w:rPr>
        <w:t xml:space="preserve">   ·   DEIN AUFTRAG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Das Interessenblatt</w:t>
      </w: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E7EFD8"/>
            <w:tcBorders>
              <w:left w:val="single" w:sz="26" w:space="0" w:color="8FB840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3"/>
              </w:rPr>
              <w:t xml:space="preserve">„Zehn Dinge, die dich wirklich interessieren. Keine Mathematik. Je konkreter, desto besser.“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2600"/>
        <w:gridCol w:w="6426"/>
      </w:tblGrid>
      <w:tr>
        <w:trPr>
          <w:tblHeader w:val="true"/>
          <w:cantSplit/>
        </w:trPr>
        <w:tc>
          <w:tcPr>
            <w:tcW w:w="2600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So nicht</w:t>
            </w:r>
          </w:p>
        </w:tc>
        <w:tc>
          <w:tcPr>
            <w:tcW w:w="6426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Sondern so</w:t>
            </w:r>
          </w:p>
        </w:tc>
      </w:tr>
      <w:tr>
        <w:trPr>
          <w:cantSplit/>
        </w:trPr>
        <w:tc>
          <w:tcPr>
            <w:tcW w:w="2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Sport</w:t>
            </w:r>
          </w:p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Musik</w:t>
            </w:r>
          </w:p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Essen</w:t>
            </w:r>
          </w:p>
        </w:tc>
        <w:tc>
          <w:tcPr>
            <w:tcW w:w="64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warum mein Aufschlag beim Badminton so oft im Netz landet</w:t>
            </w:r>
          </w:p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wie lange mein Handyakku wirklich hält</w:t>
            </w:r>
          </w:p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warum der Kaffee morgens immer zu heiß oder zu kalt ist</w:t>
            </w:r>
          </w:p>
        </w:tc>
      </w:tr>
    </w:tbl>
    <w:p>
      <w:pPr>
        <w:spacing w:after="120" w:line="288" w:lineRule="auto"/>
      </w:pPr>
    </w:p>
    <w:p>
      <w:pPr>
        <w:pStyle w:val="KPFließtext"/>
        <w:spacing w:line="288" w:lineRule="auto"/>
      </w:pPr>
      <w:r>
        <w:rPr>
          <w:rFonts w:ascii="Cambria" w:hAnsi="Cambria"/>
          <w:color w:val="1C1C1C"/>
          <w:sz w:val="22"/>
        </w:rPr>
        <w:t xml:space="preserve">Mitbringen zur nächsten Doppelstunde. Wer nichts hat, kann in der nächsten Stunde nicht mitarbeiten.</w:t>
      </w: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M 3 austeilen und die ersten drei Zeilen noch in der Stunde ausfüllen lassen. Sonst kommt niemand damit an.</w:t>
            </w:r>
          </w:p>
        </w:tc>
      </w:tr>
    </w:tbl>
    <w:p>
      <w:pPr>
        <w:spacing w:after="120" w:line="288" w:lineRule="auto"/>
      </w:pPr>
    </w:p>
    <w:p>
      <w:r>
        <w:br w:type="page"/>
      </w: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19</w:t>
      </w:r>
      <w:r>
        <w:rPr>
          <w:rFonts w:ascii="Calibri" w:hAnsi="Calibri"/>
          <w:b/>
          <w:color w:val="5E5E5E"/>
          <w:sz w:val="17"/>
        </w:rPr>
        <w:t xml:space="preserve">   ·   SO GEHT ES WEITER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Die nächsten beiden Doppelstunden</w:t>
      </w: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2600"/>
        <w:gridCol w:w="6426"/>
      </w:tblGrid>
      <w:tr>
        <w:trPr>
          <w:cantSplit/>
        </w:trPr>
        <w:tc>
          <w:tcPr>
            <w:tcW w:w="2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Doppelstunde 2</w:t>
            </w:r>
          </w:p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Kriterium A und B</w:t>
            </w:r>
          </w:p>
        </w:tc>
        <w:tc>
          <w:tcPr>
            <w:tcW w:w="64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Wie eine mathematische Arbeit aussieht – und die sieben Notationsregeln, an denen die billigsten Punkte hängen.</w:t>
            </w:r>
          </w:p>
        </w:tc>
      </w:tr>
      <w:tr>
        <w:trPr>
          <w:cantSplit/>
        </w:trPr>
        <w:tc>
          <w:tcPr>
            <w:tcW w:w="26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Doppelstunde 3</w:t>
            </w:r>
          </w:p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Kriterium C, D und E</w:t>
            </w:r>
          </w:p>
        </w:tc>
        <w:tc>
          <w:tcPr>
            <w:tcW w:w="6426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Was eine gute Arbeit von einer soliden unterscheidet. Hier trennen sich Standard Level und Higher Level zum ersten Mal.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Bis zum nächsten Mal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Interessenblatt M 3 ausfüllen – zehn Felder. Und M 1 einmal lesen; da steht alles von heute auf einer Seite.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M 1 und M 3 hier austeilen, nicht früher.</w:t>
            </w:r>
          </w:p>
        </w:tc>
      </w:tr>
    </w:tbl>
    <w:p>
      <w:pPr>
        <w:spacing w:after="120" w:line="288" w:lineRule="auto"/>
      </w:pPr>
    </w:p>
    <w:sectPr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1906" w:h="16838"/>
      <w:pgMar w:top="1300" w:right="1440" w:bottom="130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8" w:space="4" w:color="CFCFCF"/>
      </w:pBdr>
      <w:tabs>
        <w:tab w:val="clear" w:pos="4513"/>
        <w:tab w:val="clear" w:pos="4536"/>
        <w:tab w:val="clear" w:pos="9026"/>
        <w:tab w:val="clear" w:pos="9072"/>
        <w:tab w:val="right" w:pos="9026"/>
      </w:tabs>
      <w:spacing w:before="60"/>
    </w:pPr>
    <w:r/>
    <w:r>
      <w:rPr>
        <w:rFonts w:ascii="Calibri" w:hAnsi="Calibri"/>
        <w:color w:val="9A9A9A"/>
        <w:sz w:val="16"/>
      </w:rPr>
      <w:t>© 2026 Dirk Kehm</w:t>
    </w:r>
    <w:r>
      <w:rPr>
        <w:rFonts w:ascii="Calibri" w:hAnsi="Calibri"/>
        <w:color w:val="9A9A9A"/>
        <w:sz w:val="16"/>
      </w:rPr>
      <w:tab/>
      <w:t xml:space="preserve">Präsentation als Lesefassung  ·  </w:t>
    </w:r>
    <w:r>
      <w:rPr>
        <w:rFonts w:ascii="Calibri" w:hAnsi="Calibri"/>
        <w:b/>
        <w:color w:val="0F3D2A"/>
        <w:sz w:val="16"/>
      </w:rPr>
      <w:fldChar w:fldCharType="begin"/>
    </w:r>
    <w:r>
      <w:rPr>
        <w:rFonts w:ascii="Calibri" w:hAnsi="Calibri"/>
        <w:b/>
        <w:color w:val="0F3D2A"/>
        <w:sz w:val="16"/>
      </w:rPr>
      <w:instrText xml:space="preserve">PAGE</w:instrText>
    </w:r>
    <w:r>
      <w:rPr>
        <w:rFonts w:ascii="Calibri" w:hAnsi="Calibri"/>
        <w:b/>
        <w:color w:val="0F3D2A"/>
        <w:sz w:val="16"/>
      </w:rPr>
      <w:fldChar w:fldCharType="separate"/>
    </w:r>
    <w:r>
      <w:rPr>
        <w:rFonts w:ascii="Calibri" w:hAnsi="Calibri"/>
        <w:b/>
        <w:color w:val="0F3D2A"/>
        <w:sz w:val="16"/>
      </w:rPr>
      <w:t>1</w:t>
    </w:r>
    <w:r>
      <w:rPr>
        <w:rFonts w:ascii="Calibri" w:hAnsi="Calibri"/>
        <w:b/>
        <w:color w:val="0F3D2A"/>
        <w:sz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bottom w:val="single" w:sz="8" w:space="2" w:color="8FB840"/>
      </w:pBdr>
      <w:tabs>
        <w:tab w:val="clear" w:pos="4513"/>
        <w:tab w:val="clear" w:pos="4536"/>
        <w:tab w:val="clear" w:pos="9026"/>
        <w:tab w:val="clear" w:pos="9072"/>
        <w:tab w:val="right" w:pos="9026"/>
      </w:tabs>
    </w:pPr>
    <w:r/>
    <w:r>
      <w:rPr>
        <w:rFonts w:ascii="Calibri" w:hAnsi="Calibri"/>
        <w:b/>
        <w:color w:val="0F3D2A"/>
        <w:spacing w:val="30"/>
        <w:sz w:val="16"/>
      </w:rPr>
      <w:t>DIE ERKUNDUNGSARBEIT  ·  DOPPELSTUNDE 1</w:t>
    </w:r>
    <w:r>
      <w:rPr>
        <w:rFonts w:ascii="Calibri" w:hAnsi="Calibri"/>
        <w:color w:val="808080"/>
        <w:sz w:val="16"/>
      </w:rPr>
      <w:tab/>
      <w:t>Präsentation als Lesefassung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88" w:lineRule="auto"/>
    </w:pPr>
    <w:rPr>
      <w:rFonts w:ascii="Cambria" w:hAnsi="Cambria" w:eastAsia="Cambria" w:cs="Cambria"/>
      <w:color w:val="1C1C1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PTeil">
    <w:name w:val="KP Teil"/>
    <w:basedOn w:val="Normal"/>
    <w:pPr>
      <w:keepNext/>
      <w:spacing w:before="0" w:after="280" w:line="288" w:lineRule="auto"/>
      <w:outlineLvl w:val="0"/>
      <w:pBdr>
        <w:bottom w:val="single" w:sz="18" w:space="6" w:color="8FB840"/>
      </w:pBdr>
    </w:pPr>
    <w:rPr>
      <w:rFonts w:ascii="Calibri" w:hAnsi="Calibri" w:eastAsia="Calibri" w:cs="Calibri"/>
      <w:b/>
      <w:i w:val="0"/>
      <w:color w:val="0F3D2A"/>
      <w:sz w:val="44"/>
    </w:rPr>
  </w:style>
  <w:style w:type="paragraph" w:customStyle="1" w:styleId="KPKapitel">
    <w:name w:val="KP Kapitel"/>
    <w:basedOn w:val="Normal"/>
    <w:pPr>
      <w:keepNext/>
      <w:spacing w:before="280" w:after="200" w:line="288" w:lineRule="auto"/>
      <w:outlineLvl w:val="1"/>
      <w:pBdr>
        <w:bottom w:val="single" w:sz="12" w:space="5" w:color="8FB840"/>
      </w:pBdr>
    </w:pPr>
    <w:rPr>
      <w:rFonts w:ascii="Calibri" w:hAnsi="Calibri" w:eastAsia="Calibri" w:cs="Calibri"/>
      <w:b/>
      <w:i w:val="0"/>
      <w:color w:val="0F3D2A"/>
      <w:sz w:val="32"/>
    </w:rPr>
  </w:style>
  <w:style w:type="paragraph" w:customStyle="1" w:styleId="KPAbschnitt">
    <w:name w:val="KP Abschnitt"/>
    <w:basedOn w:val="Normal"/>
    <w:pPr>
      <w:keepNext/>
      <w:spacing w:before="200" w:after="120" w:line="288" w:lineRule="auto"/>
      <w:outlineLvl w:val="2"/>
      <w:pBdr>
        <w:bottom w:val="single" w:sz="6" w:space="4" w:color="DCE8C2"/>
      </w:pBdr>
    </w:pPr>
    <w:rPr>
      <w:rFonts w:ascii="Calibri" w:hAnsi="Calibri" w:eastAsia="Calibri" w:cs="Calibri"/>
      <w:b/>
      <w:i w:val="0"/>
      <w:color w:val="0F3D2A"/>
      <w:sz w:val="24"/>
    </w:rPr>
  </w:style>
  <w:style w:type="paragraph" w:customStyle="1" w:styleId="KPUnterpunkt">
    <w:name w:val="KP Unterpunkt"/>
    <w:basedOn w:val="Normal"/>
    <w:pPr>
      <w:keepNext/>
      <w:spacing w:before="160" w:after="80" w:line="288" w:lineRule="auto"/>
      <w:outlineLvl w:val="3"/>
    </w:pPr>
    <w:rPr>
      <w:rFonts w:ascii="Calibri" w:hAnsi="Calibri" w:eastAsia="Calibri" w:cs="Calibri"/>
      <w:b/>
      <w:i w:val="0"/>
      <w:color w:val="0F3D2A"/>
      <w:sz w:val="21"/>
    </w:rPr>
  </w:style>
  <w:style w:type="paragraph" w:customStyle="1" w:styleId="KPBlocktitel">
    <w:name w:val="KP Blocktitel"/>
    <w:basedOn w:val="Normal"/>
    <w:pPr>
      <w:keepNext/>
      <w:spacing w:before="240" w:after="160" w:line="288" w:lineRule="auto"/>
      <w:outlineLvl w:val="2"/>
      <w:pBdr>
        <w:bottom w:val="single" w:sz="12" w:space="5" w:color="8FB840"/>
      </w:pBdr>
    </w:pPr>
    <w:rPr>
      <w:rFonts w:ascii="Calibri" w:hAnsi="Calibri" w:eastAsia="Calibri" w:cs="Calibri"/>
      <w:b/>
      <w:i w:val="0"/>
      <w:color w:val="0F3D2A"/>
      <w:sz w:val="28"/>
    </w:rPr>
  </w:style>
  <w:style w:type="paragraph" w:customStyle="1" w:styleId="KPFeldname">
    <w:name w:val="KP Feldname"/>
    <w:basedOn w:val="Normal"/>
    <w:pPr>
      <w:keepNext/>
      <w:spacing w:before="120" w:after="40" w:line="288" w:lineRule="auto"/>
    </w:pPr>
    <w:rPr>
      <w:rFonts w:ascii="Calibri" w:hAnsi="Calibri" w:eastAsia="Calibri" w:cs="Calibri"/>
      <w:b/>
      <w:i w:val="0"/>
      <w:color w:val="0F3D2A"/>
      <w:sz w:val="19"/>
    </w:rPr>
  </w:style>
  <w:style w:type="paragraph" w:customStyle="1" w:styleId="KPFließtext">
    <w:name w:val="KP Fließtext"/>
    <w:basedOn w:val="Normal"/>
    <w:pPr>
      <w:keepNext w:val="0"/>
      <w:spacing w:before="0" w:after="120" w:line="288" w:lineRule="auto"/>
    </w:pPr>
    <w:rPr>
      <w:rFonts w:ascii="Cambria" w:hAnsi="Cambria" w:eastAsia="Cambria" w:cs="Cambria"/>
      <w:b w:val="0"/>
      <w:i w:val="0"/>
      <w:color w:val="1C1C1C"/>
      <w:sz w:val="22"/>
    </w:rPr>
  </w:style>
  <w:style w:type="paragraph" w:customStyle="1" w:styleId="KPKlein">
    <w:name w:val="KP Klein"/>
    <w:basedOn w:val="Normal"/>
    <w:pPr>
      <w:keepNext w:val="0"/>
      <w:spacing w:before="0" w:after="80" w:line="288" w:lineRule="auto"/>
    </w:pPr>
    <w:rPr>
      <w:rFonts w:ascii="Calibri" w:hAnsi="Calibri" w:eastAsia="Calibri" w:cs="Calibri"/>
      <w:b w:val="0"/>
      <w:i w:val="0"/>
      <w:color w:val="5E5E5E"/>
      <w:sz w:val="18"/>
    </w:rPr>
  </w:style>
  <w:style w:type="paragraph" w:customStyle="1" w:styleId="KPKasten">
    <w:name w:val="KP Kasten"/>
    <w:basedOn w:val="Normal"/>
    <w:pPr>
      <w:keepNext w:val="0"/>
      <w:spacing w:before="0" w:after="80" w:line="288" w:lineRule="auto"/>
    </w:pPr>
    <w:rPr>
      <w:rFonts w:ascii="Cambria" w:hAnsi="Cambria" w:eastAsia="Cambria" w:cs="Cambria"/>
      <w:b w:val="0"/>
      <w:i w:val="0"/>
      <w:color w:val="1C1C1C"/>
      <w:sz w:val="20"/>
    </w:rPr>
  </w:style>
  <w:style w:type="paragraph" w:customStyle="1" w:styleId="KPListe">
    <w:name w:val="KP Liste"/>
    <w:basedOn w:val="Normal"/>
    <w:pPr>
      <w:keepNext w:val="0"/>
      <w:spacing w:before="0" w:after="60" w:line="288" w:lineRule="auto"/>
      <w:ind w:left="397" w:hanging="397"/>
    </w:pPr>
    <w:rPr>
      <w:rFonts w:ascii="Cambria" w:hAnsi="Cambria" w:eastAsia="Cambria" w:cs="Cambria"/>
      <w:b w:val="0"/>
      <w:i w:val="0"/>
      <w:color w:val="1C1C1C"/>
      <w:sz w:val="22"/>
    </w:rPr>
  </w:style>
  <w:style w:type="paragraph" w:customStyle="1" w:styleId="KPListekompakt">
    <w:name w:val="KP Liste kompakt"/>
    <w:basedOn w:val="Normal"/>
    <w:pPr>
      <w:keepNext w:val="0"/>
      <w:spacing w:before="0" w:after="20" w:line="264" w:lineRule="auto"/>
      <w:ind w:left="340" w:hanging="340"/>
    </w:pPr>
    <w:rPr>
      <w:rFonts w:ascii="Cambria" w:hAnsi="Cambria" w:eastAsia="Cambria" w:cs="Cambria"/>
      <w:b w:val="0"/>
      <w:i w:val="0"/>
      <w:color w:val="1C1C1C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Dirk Kehm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