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900" w:line="288" w:lineRule="auto"/>
      </w:pPr>
    </w:p>
    <w:p>
      <w:pPr>
        <w:spacing w:after="60" w:line="288" w:lineRule="auto"/>
      </w:pPr>
      <w:r>
        <w:rPr>
          <w:rFonts w:ascii="Calibri" w:hAnsi="Calibri"/>
          <w:b/>
          <w:color w:val="0F3D2A"/>
          <w:sz w:val="64"/>
        </w:rPr>
        <w:t xml:space="preserve">Kriterium A und B</w:t>
      </w:r>
    </w:p>
    <w:p>
      <w:pPr>
        <w:spacing w:after="200" w:line="288" w:lineRule="auto"/>
        <w:pBdr>
          <w:bottom w:val="single" w:sz="6" w:space="4" w:color="8FB840"/>
        </w:pBdr>
      </w:pPr>
      <w:r>
        <w:rPr>
          <w:rFonts w:ascii="Calibri" w:hAnsi="Calibri"/>
          <w:b/>
          <w:color w:val="8FB840"/>
          <w:sz w:val="40"/>
        </w:rPr>
        <w:t xml:space="preserve">Doppelstunde 2</w:t>
      </w:r>
    </w:p>
    <w:p>
      <w:pPr>
        <w:spacing w:after="140" w:line="288" w:lineRule="auto"/>
      </w:pPr>
      <w:r>
        <w:rPr>
          <w:rFonts w:ascii="Cambria" w:hAnsi="Cambria"/>
          <w:color w:val="1C1C1C"/>
          <w:sz w:val="28"/>
        </w:rPr>
        <w:t xml:space="preserve">Die Präsentation als Lesefassung</w:t>
      </w:r>
    </w:p>
    <w:p>
      <w:pPr>
        <w:spacing w:after="500" w:line="288" w:lineRule="auto"/>
      </w:pPr>
      <w:r>
        <w:rPr>
          <w:rFonts w:ascii="Cambria" w:hAnsi="Cambria"/>
          <w:color w:val="5E5E5E"/>
          <w:sz w:val="22"/>
        </w:rPr>
        <w:t xml:space="preserve">Alle 21 Folien im Wortlaut, mit den Arbeitsaufträgen, den Einteilungen und den Notizen für dich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1F4EC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0F3D2A"/>
                <w:sz w:val="22"/>
              </w:rPr>
              <w:t xml:space="preserve">Wozu diese Fassung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Dieselben Inhalte wie die Datei „IA_DS2_Praesentation.pptx“, nur zum Lesen, Ausdrucken und Ändern. Am Pult brauchst du diese Seiten, an der Wand die Folien.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Kästen „Für dich“ entsprechen den Notizen unter den Folien. Sie werden nicht projiziert.</w:t>
            </w:r>
          </w:p>
        </w:tc>
      </w:tr>
    </w:tbl>
    <w:p>
      <w:pPr>
        <w:spacing w:after="120" w:line="288" w:lineRule="auto"/>
      </w:pPr>
    </w:p>
    <w:p>
      <w:pPr>
        <w:spacing w:after="400" w:line="288" w:lineRule="auto"/>
      </w:pPr>
    </w:p>
    <w:p>
      <w:pPr>
        <w:pStyle w:val="KPKlein"/>
        <w:spacing w:line="288" w:lineRule="auto"/>
      </w:pPr>
      <w:r>
        <w:rPr>
          <w:rFonts w:ascii="Calibri" w:hAnsi="Calibri"/>
          <w:color w:val="5E5E5E"/>
          <w:sz w:val="18"/>
        </w:rPr>
        <w:t xml:space="preserve">Dirk Kehm  ·  IGS Ho-Chi-Minh-Stadt  ·  Stand: 29. September 2026</w:t>
      </w: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</w:t>
      </w:r>
      <w:r>
        <w:rPr>
          <w:rFonts w:ascii="Calibri" w:hAnsi="Calibri"/>
          <w:b/>
          <w:color w:val="5E5E5E"/>
          <w:sz w:val="17"/>
        </w:rPr>
        <w:t xml:space="preserve">   ·   TITELFOLIE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Kriterium A und B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2600"/>
        <w:gridCol w:w="6426"/>
      </w:tblGrid>
      <w:tr>
        <w:trPr>
          <w:cantSplit/>
        </w:trPr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Oberzeile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Jahr 1  ·  Doppelstunde 2 von 6  ·  Internal Assessment</w:t>
            </w:r>
          </w:p>
        </w:tc>
      </w:tr>
      <w:tr>
        <w:trPr>
          <w:cantSplit/>
        </w:trPr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Marke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WORKSHOP</w:t>
            </w:r>
          </w:p>
        </w:tc>
      </w:tr>
      <w:tr>
        <w:trPr>
          <w:cantSplit/>
        </w:trPr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Untertitel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Wie eine mathematische Arbeit aussieht – und woran man sofort sieht, dass sie es nicht tut</w:t>
            </w:r>
          </w:p>
        </w:tc>
      </w:tr>
      <w:tr>
        <w:trPr>
          <w:cantSplit/>
        </w:trPr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Fußzeile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90 Minuten  ·  für alle  ·  Material M 3, M 4, M 5, M 6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Acht der zwanzig Punkte hängen an diesen beiden Kriterien – und an keiner einzigen Rechnung. Das ist die Botschaft der Stunde.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2</w:t>
      </w:r>
      <w:r>
        <w:rPr>
          <w:rFonts w:ascii="Calibri" w:hAnsi="Calibri"/>
          <w:b/>
          <w:color w:val="5E5E5E"/>
          <w:sz w:val="17"/>
        </w:rPr>
        <w:t xml:space="preserve">   ·   FAHRPLAN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Was heute passiert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1400"/>
        <w:gridCol w:w="5626"/>
        <w:gridCol w:w="2000"/>
      </w:tblGrid>
      <w:tr>
        <w:trPr>
          <w:tblHeader w:val="true"/>
          <w:cantSplit/>
        </w:trPr>
        <w:tc>
          <w:tcPr>
            <w:tcW w:w="14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Minute</w:t>
            </w:r>
          </w:p>
        </w:tc>
        <w:tc>
          <w:tcPr>
            <w:tcW w:w="56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Was</w:t>
            </w:r>
          </w:p>
        </w:tc>
        <w:tc>
          <w:tcPr>
            <w:tcW w:w="20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Sozialform</w:t>
            </w:r>
          </w:p>
        </w:tc>
      </w:tr>
      <w:tr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00–10</w:t>
            </w:r>
          </w:p>
        </w:tc>
        <w:tc>
          <w:tcPr>
            <w:tcW w:w="56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Eure Interessen, laut vorgelesen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Gruppenarbeit</w:t>
            </w:r>
          </w:p>
        </w:tc>
      </w:tr>
      <w:tr>
        <w:trPr>
          <w:cantSplit/>
        </w:trPr>
        <w:tc>
          <w:tcPr>
            <w:tcW w:w="14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10–32</w:t>
            </w:r>
          </w:p>
        </w:tc>
        <w:tc>
          <w:tcPr>
            <w:tcW w:w="56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Kriterium A und B im Wortlaut</w:t>
            </w:r>
          </w:p>
        </w:tc>
        <w:tc>
          <w:tcPr>
            <w:tcW w:w="20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Input</w:t>
            </w:r>
          </w:p>
        </w:tc>
      </w:tr>
      <w:tr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32–58</w:t>
            </w:r>
          </w:p>
        </w:tc>
        <w:tc>
          <w:tcPr>
            <w:tcW w:w="56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Werkstatt: Finde den Fehler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Gruppenarbeit</w:t>
            </w:r>
          </w:p>
        </w:tc>
      </w:tr>
      <w:tr>
        <w:trPr>
          <w:cantSplit/>
        </w:trPr>
        <w:tc>
          <w:tcPr>
            <w:tcW w:w="14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58–72</w:t>
            </w:r>
          </w:p>
        </w:tc>
        <w:tc>
          <w:tcPr>
            <w:tcW w:w="56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sieben Notationsregeln</w:t>
            </w:r>
          </w:p>
        </w:tc>
        <w:tc>
          <w:tcPr>
            <w:tcW w:w="20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Plenum</w:t>
            </w:r>
          </w:p>
        </w:tc>
      </w:tr>
      <w:tr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72–86</w:t>
            </w:r>
          </w:p>
        </w:tc>
        <w:tc>
          <w:tcPr>
            <w:tcW w:w="56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Vom Interesse zum Themenfeld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Partnerarbeit</w:t>
            </w:r>
          </w:p>
        </w:tc>
      </w:tr>
      <w:tr>
        <w:trPr>
          <w:cantSplit/>
        </w:trPr>
        <w:tc>
          <w:tcPr>
            <w:tcW w:w="14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86–90</w:t>
            </w:r>
          </w:p>
        </w:tc>
        <w:tc>
          <w:tcPr>
            <w:tcW w:w="56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Drei Felder stehen fest</w:t>
            </w:r>
          </w:p>
        </w:tc>
        <w:tc>
          <w:tcPr>
            <w:tcW w:w="20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Einzelarbeit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Ansagen: Heute wird nicht gerechnet. Trotzdem geht es um acht Punkte.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3</w:t>
      </w:r>
      <w:r>
        <w:rPr>
          <w:rFonts w:ascii="Calibri" w:hAnsi="Calibri"/>
          <w:b/>
          <w:color w:val="5E5E5E"/>
          <w:sz w:val="17"/>
        </w:rPr>
        <w:t xml:space="preserve">   ·   RÜCKBLICK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Was vom letzten Mal steht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600"/>
        <w:gridCol w:w="2600"/>
        <w:gridCol w:w="5826"/>
      </w:tblGrid>
      <w:tr>
        <w:trPr>
          <w:tblHeader w:val="true"/>
          <w:cantSplit/>
        </w:trPr>
        <w:tc>
          <w:tcPr>
            <w:tcW w:w="6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</w:p>
        </w:tc>
        <w:tc>
          <w:tcPr>
            <w:tcW w:w="26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Merkmal</w:t>
            </w:r>
          </w:p>
        </w:tc>
        <w:tc>
          <w:tcPr>
            <w:tcW w:w="58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Was es heißt</w:t>
            </w:r>
          </w:p>
        </w:tc>
      </w:tr>
      <w:tr>
        <w:trPr>
          <w:cantSplit/>
        </w:trPr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1</w:t>
            </w:r>
          </w:p>
        </w:tc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Eine eigene Frage</w:t>
            </w:r>
          </w:p>
        </w:tc>
        <w:tc>
          <w:tcPr>
            <w:tcW w:w="58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Nicht über etwas schreiben, sondern etwas herausfinden wollen.</w:t>
            </w:r>
          </w:p>
        </w:tc>
      </w:tr>
      <w:tr>
        <w:trPr>
          <w:cantSplit/>
        </w:trPr>
        <w:tc>
          <w:tcPr>
            <w:tcW w:w="6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2</w:t>
            </w:r>
          </w:p>
        </w:tc>
        <w:tc>
          <w:tcPr>
            <w:tcW w:w="26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Eigene Mathematik</w:t>
            </w:r>
          </w:p>
        </w:tc>
        <w:tc>
          <w:tcPr>
            <w:tcW w:w="58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Du rechnest, modellierst, beweist – du berichtest nicht.</w:t>
            </w:r>
          </w:p>
        </w:tc>
      </w:tr>
      <w:tr>
        <w:trPr>
          <w:cantSplit/>
        </w:trPr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3</w:t>
            </w:r>
          </w:p>
        </w:tc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Ein eigener Zugriff</w:t>
            </w:r>
          </w:p>
        </w:tc>
        <w:tc>
          <w:tcPr>
            <w:tcW w:w="58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Man merkt beim Lesen, dass genau du diese Arbeit geschrieben hast.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Habt ihr euer Interessenblatt dabei? Zehn Felder. Wer keins hat, schreibt jetzt in fünf Minuten sechs.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Kurz abfragen, nicht wiederholen. Der Blick geht auf die Interessenblätter – ohne sie läuft der letzte Teil der Stunde leer.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4</w:t>
      </w:r>
      <w:r>
        <w:rPr>
          <w:rFonts w:ascii="Calibri" w:hAnsi="Calibri"/>
          <w:b/>
          <w:color w:val="5E5E5E"/>
          <w:sz w:val="17"/>
        </w:rPr>
        <w:t xml:space="preserve">   ·   ARBEITSAUFTRAG 1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Eure Interessen, laut vorgelesen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„Jede und jeder liest zwei Felder vom Interessenblatt vor. Die anderen stellen genau eine Frage: Was genau daran interessiert dich?“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3008"/>
        <w:gridCol w:w="3009"/>
        <w:gridCol w:w="3009"/>
      </w:tblGrid>
      <w:tr>
        <w:trPr>
          <w:tblHeader w:val="true"/>
          <w:cantSplit/>
        </w:trPr>
        <w:tc>
          <w:tcPr>
            <w:tcW w:w="3008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Gruppe A</w:t>
            </w:r>
          </w:p>
        </w:tc>
        <w:tc>
          <w:tcPr>
            <w:tcW w:w="3009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Gruppe B</w:t>
            </w:r>
          </w:p>
        </w:tc>
        <w:tc>
          <w:tcPr>
            <w:tcW w:w="3009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Gruppe C</w:t>
            </w:r>
          </w:p>
        </w:tc>
      </w:tr>
      <w:tr>
        <w:trPr>
          <w:cantSplit/>
        </w:trPr>
        <w:tc>
          <w:tcPr>
            <w:tcW w:w="300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1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3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5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10</w:t>
            </w:r>
          </w:p>
        </w:tc>
        <w:tc>
          <w:tcPr>
            <w:tcW w:w="300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2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4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7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11</w:t>
            </w:r>
          </w:p>
        </w:tc>
        <w:tc>
          <w:tcPr>
            <w:tcW w:w="300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6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8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9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Keine Bewertung, kein Vorschlag, keine Idee. Nur die eine Frage. Zehn Minuten.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Neue Gruppen gegenüber Doppelstunde 1: niemand sitzt mit dem eigenen Partner. In diesen Gruppen bleibt ihr auch für die Werkstatt.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5</w:t>
      </w:r>
      <w:r>
        <w:rPr>
          <w:rFonts w:ascii="Calibri" w:hAnsi="Calibri"/>
          <w:b/>
          <w:color w:val="5E5E5E"/>
          <w:sz w:val="17"/>
        </w:rPr>
        <w:t xml:space="preserve">   ·   HEUTE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Zwei von fünf Kriterien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4000"/>
        <w:gridCol w:w="2500"/>
        <w:gridCol w:w="2526"/>
      </w:tblGrid>
      <w:tr>
        <w:trPr>
          <w:tblHeader w:val="true"/>
          <w:cantSplit/>
        </w:trPr>
        <w:tc>
          <w:tcPr>
            <w:tcW w:w="40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Kriterium</w:t>
            </w:r>
          </w:p>
        </w:tc>
        <w:tc>
          <w:tcPr>
            <w:tcW w:w="25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Punkte</w:t>
            </w:r>
          </w:p>
        </w:tc>
        <w:tc>
          <w:tcPr>
            <w:tcW w:w="25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Heute?</w:t>
            </w:r>
          </w:p>
        </w:tc>
      </w:tr>
      <w:tr>
        <w:trPr>
          <w:cantSplit/>
        </w:trPr>
        <w:tc>
          <w:tcPr>
            <w:tcW w:w="4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A  Präsentation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4</w:t>
            </w:r>
          </w:p>
        </w:tc>
        <w:tc>
          <w:tcPr>
            <w:tcW w:w="25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heute</w:t>
            </w:r>
          </w:p>
        </w:tc>
      </w:tr>
      <w:tr>
        <w:trPr>
          <w:cantSplit/>
        </w:trPr>
        <w:tc>
          <w:tcPr>
            <w:tcW w:w="40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B  Mathematische Kommunikation</w:t>
            </w:r>
          </w:p>
        </w:tc>
        <w:tc>
          <w:tcPr>
            <w:tcW w:w="25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4</w:t>
            </w:r>
          </w:p>
        </w:tc>
        <w:tc>
          <w:tcPr>
            <w:tcW w:w="25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heute</w:t>
            </w:r>
          </w:p>
        </w:tc>
      </w:tr>
      <w:tr>
        <w:trPr>
          <w:cantSplit/>
        </w:trPr>
        <w:tc>
          <w:tcPr>
            <w:tcW w:w="4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C  Persönlicher Einsatz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3</w:t>
            </w:r>
          </w:p>
        </w:tc>
        <w:tc>
          <w:tcPr>
            <w:tcW w:w="25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—</w:t>
            </w:r>
          </w:p>
        </w:tc>
      </w:tr>
      <w:tr>
        <w:trPr>
          <w:cantSplit/>
        </w:trPr>
        <w:tc>
          <w:tcPr>
            <w:tcW w:w="40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D  Reflexion</w:t>
            </w:r>
          </w:p>
        </w:tc>
        <w:tc>
          <w:tcPr>
            <w:tcW w:w="25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3</w:t>
            </w:r>
          </w:p>
        </w:tc>
        <w:tc>
          <w:tcPr>
            <w:tcW w:w="25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—</w:t>
            </w:r>
          </w:p>
        </w:tc>
      </w:tr>
      <w:tr>
        <w:trPr>
          <w:cantSplit/>
        </w:trPr>
        <w:tc>
          <w:tcPr>
            <w:tcW w:w="4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E  Nutzung der Mathematik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6</w:t>
            </w:r>
          </w:p>
        </w:tc>
        <w:tc>
          <w:tcPr>
            <w:tcW w:w="25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—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Acht dieser zwanzig Punkte hängen an keiner einzigen Rechnung. Sie hängen daran, wie deine Arbeit aussieht.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beiden grünen Kacheln sind die heutigen. Das ist der Punkt: acht von zwanzig, ohne zu rechnen.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6</w:t>
      </w:r>
      <w:r>
        <w:rPr>
          <w:rFonts w:ascii="Calibri" w:hAnsi="Calibri"/>
          <w:b/>
          <w:color w:val="5E5E5E"/>
          <w:sz w:val="17"/>
        </w:rPr>
        <w:t xml:space="preserve">   ·   KRITERIUM A · PRÄSENTATION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Die Leiter, 0 bis 4 Punkte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900"/>
        <w:gridCol w:w="8126"/>
      </w:tblGrid>
      <w:tr>
        <w:trPr>
          <w:tblHeader w:val="true"/>
          <w:cantSplit/>
        </w:trPr>
        <w:tc>
          <w:tcPr>
            <w:tcW w:w="9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Ebene</w:t>
            </w:r>
          </w:p>
        </w:tc>
        <w:tc>
          <w:tcPr>
            <w:tcW w:w="81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Leistungshorizont</w:t>
            </w:r>
          </w:p>
        </w:tc>
      </w:tr>
      <w:tr>
        <w:trPr>
          <w:cantSplit/>
        </w:trPr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1</w:t>
            </w:r>
          </w:p>
        </w:tc>
        <w:tc>
          <w:tcPr>
            <w:tcW w:w="81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Erkundungsarbeit ist teilweise stimmig oder zeigt Ansätze einer Gliederung.</w:t>
            </w:r>
          </w:p>
        </w:tc>
      </w:tr>
      <w:tr>
        <w:trPr>
          <w:cantSplit/>
        </w:trPr>
        <w:tc>
          <w:tcPr>
            <w:tcW w:w="9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2</w:t>
            </w:r>
          </w:p>
        </w:tc>
        <w:tc>
          <w:tcPr>
            <w:tcW w:w="81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Erkundungsarbeit ist teilweise stimmig und zeigt Ansätze einer Gliederung.</w:t>
            </w:r>
          </w:p>
        </w:tc>
      </w:tr>
      <w:tr>
        <w:trPr>
          <w:cantSplit/>
        </w:trPr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3</w:t>
            </w:r>
          </w:p>
        </w:tc>
        <w:tc>
          <w:tcPr>
            <w:tcW w:w="81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Erkundungsarbeit ist stimmig und gut gegliedert.</w:t>
            </w:r>
          </w:p>
        </w:tc>
      </w:tr>
      <w:tr>
        <w:trPr>
          <w:cantSplit/>
        </w:trPr>
        <w:tc>
          <w:tcPr>
            <w:tcW w:w="9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4</w:t>
            </w:r>
          </w:p>
        </w:tc>
        <w:tc>
          <w:tcPr>
            <w:tcW w:w="81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Erkundungsarbeit ist stimmig, gut gegliedert und prägnant.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Von unten lesen, bis ein Deskriptor nicht mehr zutrifft. Die letzte zutreffende Ebene gilt. Drei Wörter entscheiden: stimmig – gut gegliedert – prägnant.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Wortlaut aus dem Handbuch. Der Unterschied zwischen Ebene 1 und 2 ist ein einziges Wort: oder / und.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7</w:t>
      </w:r>
      <w:r>
        <w:rPr>
          <w:rFonts w:ascii="Calibri" w:hAnsi="Calibri"/>
          <w:b/>
          <w:color w:val="5E5E5E"/>
          <w:sz w:val="17"/>
        </w:rPr>
        <w:t xml:space="preserve">   ·   KRITERIUM A · WORT 1 VON 3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Stimmig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Stimmig heißt: logisch entwickelt, leicht nachvollziehbar, erfüllt ihr Ziel. Einführung, Hauptteil und Schluss hängen zusammen.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4513"/>
        <w:gridCol w:w="4513"/>
      </w:tblGrid>
      <w:tr>
        <w:trPr>
          <w:tblHeader w:val="true"/>
          <w:cantSplit/>
        </w:trPr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So nicht</w:t>
            </w:r>
          </w:p>
        </w:tc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Sondern so</w:t>
            </w:r>
          </w:p>
        </w:tc>
      </w:tr>
      <w:tr>
        <w:trPr>
          <w:cantSplit/>
        </w:trPr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Deine Arbeit nennt kein Ziel.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Nach der Einleitung weiß der Leser nicht, worauf sie hinausläuft – und der Schluss fasst nur zusammen, was ohnehin schon dastand.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Deine Einleitung fragt: An welcher Stelle soll ich vom Rasen auf den Weg wechseln?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Jeder Abschnitt bringt diese Frage weiter, und der Schluss nennt die Zahl.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Die Probe: Streiche deine Einleitung und deinen Schluss. Merkt man es?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Das häufigste Problem ist nicht schlechte Gliederung, sondern ein fehlendes Ziel.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8</w:t>
      </w:r>
      <w:r>
        <w:rPr>
          <w:rFonts w:ascii="Calibri" w:hAnsi="Calibri"/>
          <w:b/>
          <w:color w:val="5E5E5E"/>
          <w:sz w:val="17"/>
        </w:rPr>
        <w:t xml:space="preserve">   ·   KRITERIUM A · WORT 2 VON 3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Gut gegliedert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Gut gegliedert heißt: Es gibt eine Einführung, das Ziel wird benannt, es gibt einen Schluss. Relevante Graphen, Tabellen und Diagramme stehen im Text an der passenden Stelle.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4513"/>
        <w:gridCol w:w="4513"/>
      </w:tblGrid>
      <w:tr>
        <w:trPr>
          <w:tblHeader w:val="true"/>
          <w:cantSplit/>
        </w:trPr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So nicht</w:t>
            </w:r>
          </w:p>
        </w:tc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Sondern so</w:t>
            </w:r>
          </w:p>
        </w:tc>
      </w:tr>
      <w:tr>
        <w:trPr>
          <w:cantSplit/>
        </w:trPr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Zwischen zwei Abschnitten wechselt das Thema ohne Ankündigung.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Der Leser muss raten, warum jetzt plötzlich Trigonometrie kommt.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Skizze steht in dem Abschnitt, in dem du die Größen einführst – nicht drei Seiten später.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Am Ende jedes Abschnitts steht ein Satz, der zum nächsten überleitet.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In den Anhang gehören nur große Datenmengen und Zusatzmaterial. Alles, was der Leser zum Verstehen braucht, steht im Text.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Hier sitzt der Anhang-Fehler: Wer seine einzige Grafik in den Anhang legt, verliert Punkte bei A, nicht bei B.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9</w:t>
      </w:r>
      <w:r>
        <w:rPr>
          <w:rFonts w:ascii="Calibri" w:hAnsi="Calibri"/>
          <w:b/>
          <w:color w:val="5E5E5E"/>
          <w:sz w:val="17"/>
        </w:rPr>
        <w:t xml:space="preserve">   ·   KRITERIUM A · WORT 3 VON 3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Prägnant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Prägnant heißt: keine irrelevanten und keine unnötig wiederholten Berechnungen, Diagramme oder Beschreibungen. Prägnant heißt nicht kurz.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4513"/>
        <w:gridCol w:w="4513"/>
      </w:tblGrid>
      <w:tr>
        <w:trPr>
          <w:tblHeader w:val="true"/>
          <w:cantSplit/>
        </w:trPr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So nicht</w:t>
            </w:r>
          </w:p>
        </w:tc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Sondern so</w:t>
            </w:r>
          </w:p>
        </w:tc>
      </w:tr>
      <w:tr>
        <w:trPr>
          <w:cantSplit/>
        </w:trPr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Du erklärst auf einer halben Seite, wie die Kettenregel funktioniert.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Sie steht im Lehrplan, dein Leser kennt sie. Das ist irrelevant, nicht gründlich.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Du erklärst dein Vorgehen einmal und verweist später darauf zurück.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Was der Leser schon weiß, steht nicht noch einmal da.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Wichtig: Eine analytische Lösung statt einer mit dem Rechner ist kein Mangel an Prägnanz.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Prägnant wird regelmäßig als kurz missverstanden. Der Satz oben steht so sinngemäß im Handbuch.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10</w:t>
      </w:r>
      <w:r>
        <w:rPr>
          <w:rFonts w:ascii="Calibri" w:hAnsi="Calibri"/>
          <w:b/>
          <w:color w:val="5E5E5E"/>
          <w:sz w:val="17"/>
        </w:rPr>
        <w:t xml:space="preserve">   ·   KRITERIUM B · MATHEMATISCHE KOMMUNIKATION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Die Leiter, 0 bis 4 Punkte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900"/>
        <w:gridCol w:w="8126"/>
      </w:tblGrid>
      <w:tr>
        <w:trPr>
          <w:tblHeader w:val="true"/>
          <w:cantSplit/>
        </w:trPr>
        <w:tc>
          <w:tcPr>
            <w:tcW w:w="9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Ebene</w:t>
            </w:r>
          </w:p>
        </w:tc>
        <w:tc>
          <w:tcPr>
            <w:tcW w:w="81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Leistungshorizont</w:t>
            </w:r>
          </w:p>
        </w:tc>
      </w:tr>
      <w:tr>
        <w:trPr>
          <w:cantSplit/>
        </w:trPr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1</w:t>
            </w:r>
          </w:p>
        </w:tc>
        <w:tc>
          <w:tcPr>
            <w:tcW w:w="81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Erkundungsarbeit enthält in Ansätzen relevante mathematische Kommunikation, die teilweise angemessen ist.</w:t>
            </w:r>
          </w:p>
        </w:tc>
      </w:tr>
      <w:tr>
        <w:trPr>
          <w:cantSplit/>
        </w:trPr>
        <w:tc>
          <w:tcPr>
            <w:tcW w:w="9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2</w:t>
            </w:r>
          </w:p>
        </w:tc>
        <w:tc>
          <w:tcPr>
            <w:tcW w:w="81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Erkundungsarbeit enthält in Ansätzen relevante, angemessene mathematische Kommunikation.</w:t>
            </w:r>
          </w:p>
        </w:tc>
      </w:tr>
      <w:tr>
        <w:trPr>
          <w:cantSplit/>
        </w:trPr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3</w:t>
            </w:r>
          </w:p>
        </w:tc>
        <w:tc>
          <w:tcPr>
            <w:tcW w:w="81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mathematische Kommunikation ist relevant, angemessen und meist konsistent.</w:t>
            </w:r>
          </w:p>
        </w:tc>
      </w:tr>
      <w:tr>
        <w:trPr>
          <w:cantSplit/>
        </w:trPr>
        <w:tc>
          <w:tcPr>
            <w:tcW w:w="9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4</w:t>
            </w:r>
          </w:p>
        </w:tc>
        <w:tc>
          <w:tcPr>
            <w:tcW w:w="81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mathematische Kommunikation ist durchgehend relevant, angemessen und konsistent.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Vier Dinge werden geprüft: geeignete mathematische Sprache, Definition der Variablen, verschiedene Darstellungsweisen, deduktiver Aufbau. Der Unterschied zwischen Ebene 3 und 4 ist ein einziges Wort: meist konsistent – durchgehend konsistent.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Konsistenz ist der Schlüssel. Ein einziger Ausrutscher auf Seite 14 kostet den vierten Punkt.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11</w:t>
      </w:r>
      <w:r>
        <w:rPr>
          <w:rFonts w:ascii="Calibri" w:hAnsi="Calibri"/>
          <w:b/>
          <w:color w:val="5E5E5E"/>
          <w:sz w:val="17"/>
        </w:rPr>
        <w:t xml:space="preserve">   ·   KRITERIUM B · PUNKT 1 VON 4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Mathematische Sprache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Taschenrechner- und Computerschreibweise nur, wenn sie von der Software erzeugt wurde.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4513"/>
        <w:gridCol w:w="4513"/>
      </w:tblGrid>
      <w:tr>
        <w:trPr>
          <w:tblHeader w:val="true"/>
          <w:cantSplit/>
        </w:trPr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So nicht</w:t>
            </w:r>
          </w:p>
        </w:tc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Sondern so</w:t>
            </w:r>
          </w:p>
        </w:tc>
      </w:tr>
      <w:tr>
        <w:trPr>
          <w:cantSplit/>
        </w:trPr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Du tippst integral(f(x),x) und sqrt(x^2+a^2) ab, weil dein Rechner es so anzeigt.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Abgetippte Rechnerschreibweise ist keine mathematische Sprache.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Du schreibst das Integralzeichen und setzt die Wurzel als Wurzel.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Erlaubt bleibt: eine echte Rechnerausgabe als Abbildung einbinden – und erklären, was darauf zu sehen ist.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Das Handbuch nennt den durchgehenden Gebrauch von Computerschreibweise ausdrücklich als Beispiel für die unterste Ebene.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Hier hilft ein Blick in den Formeleditor. Wer ihn nicht bedienen kann, schreibt von Hand – auch das ist erlaubt.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12</w:t>
      </w:r>
      <w:r>
        <w:rPr>
          <w:rFonts w:ascii="Calibri" w:hAnsi="Calibri"/>
          <w:b/>
          <w:color w:val="5E5E5E"/>
          <w:sz w:val="17"/>
        </w:rPr>
        <w:t xml:space="preserve">   ·   KRITERIUM B · PUNKT 2 VON 4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Variablen definieren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Schlüsselbegriffe und Variablen werden definiert, wo es nötig ist – mit Einheit.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4513"/>
        <w:gridCol w:w="4513"/>
      </w:tblGrid>
      <w:tr>
        <w:trPr>
          <w:tblHeader w:val="true"/>
          <w:cantSplit/>
        </w:trPr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So nicht</w:t>
            </w:r>
          </w:p>
        </w:tc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Sondern so</w:t>
            </w:r>
          </w:p>
        </w:tc>
      </w:tr>
      <w:tr>
        <w:trPr>
          <w:cantSplit/>
        </w:trPr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Du rechnest drei Seiten lang mit k, ohne je zu sagen, was k ist und welche Einheit es hat.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„Dabei bezeichnet T(t) die Temperatur in Grad Celsius zum Zeitpunkt t in Minuten und k die Abkühlkonstante in 1 durch Minute.“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Die Regel gilt bei der ersten Verwendung, nicht irgendwann später. Und sie gilt auch für Größen, die dir selbstverständlich vorkommen.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Der häufigste Fall: Die Variable wird in einer Abbildung eingeführt und im Text nie erklärt.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13</w:t>
      </w:r>
      <w:r>
        <w:rPr>
          <w:rFonts w:ascii="Calibri" w:hAnsi="Calibri"/>
          <w:b/>
          <w:color w:val="5E5E5E"/>
          <w:sz w:val="17"/>
        </w:rPr>
        <w:t xml:space="preserve">   ·   KRITERIUM B · PUNKT 3 VON 4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Darstellungsweisen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Verschiedene Darstellungsweisen, wo es angemessen ist: Formeln, Grafiken, Tabellen, Diagramme, Graphen, Modelle.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4513"/>
        <w:gridCol w:w="4513"/>
      </w:tblGrid>
      <w:tr>
        <w:trPr>
          <w:tblHeader w:val="true"/>
          <w:cantSplit/>
        </w:trPr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So nicht</w:t>
            </w:r>
          </w:p>
        </w:tc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Sondern so</w:t>
            </w:r>
          </w:p>
        </w:tc>
      </w:tr>
      <w:tr>
        <w:trPr>
          <w:cantSplit/>
        </w:trPr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Vier Diagramme, die alle dasselbe zeigen.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Mehr Darstellungen sind nicht besser – andere Darstellungen sind besser.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Skizze, Messtabelle, Termumformung und Graph greifen ineinander.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Jede zeigt etwas, das die anderen nicht zeigen.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Wichtig: Ebene 4 ist auch mit einer einzigen Darstellungsweise erreichbar – wenn sie zum Thema passt.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Der Hinweis oben verhindert, dass alle krampfhaft vier Diagrammtypen einbauen.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14</w:t>
      </w:r>
      <w:r>
        <w:rPr>
          <w:rFonts w:ascii="Calibri" w:hAnsi="Calibri"/>
          <w:b/>
          <w:color w:val="5E5E5E"/>
          <w:sz w:val="17"/>
        </w:rPr>
        <w:t xml:space="preserve">   ·   KRITERIUM B · PUNKT 4 VON 4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Deduktiver Aufbau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Deduktive Methode und logischer Aufbau von Beweisen und Herleitungen, wo es angemessen ist.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4513"/>
        <w:gridCol w:w="4513"/>
      </w:tblGrid>
      <w:tr>
        <w:trPr>
          <w:tblHeader w:val="true"/>
          <w:cantSplit/>
        </w:trPr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So nicht</w:t>
            </w:r>
          </w:p>
        </w:tc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Sondern so</w:t>
            </w:r>
          </w:p>
        </w:tc>
      </w:tr>
      <w:tr>
        <w:trPr>
          <w:cantSplit/>
        </w:trPr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„Offensichtlich ist das das Minimum.“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Wenn es offensichtlich wäre, müsstest du es nicht schreiben.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„Beide Seiten sind für x größer null positiv, ich darf also quadrieren.“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Jeder Schritt sagt, warum er erlaubt ist.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Das gilt auch für Umformungen, nicht nur für Beweise. Ein Gleichheitszeichen ist eine Behauptung.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Kurz halten. Der Punkt wird in Doppelstunde 6 bei Stringenz wieder aufgenommen.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15</w:t>
      </w:r>
      <w:r>
        <w:rPr>
          <w:rFonts w:ascii="Calibri" w:hAnsi="Calibri"/>
          <w:b/>
          <w:color w:val="5E5E5E"/>
          <w:sz w:val="17"/>
        </w:rPr>
        <w:t xml:space="preserve">   ·   ACHTUNG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Was die IB für Ebene 1 ausdrücklich nennt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4513"/>
        <w:gridCol w:w="4513"/>
      </w:tblGrid>
      <w:tr>
        <w:trPr>
          <w:tblHeader w:val="true"/>
          <w:cantSplit/>
        </w:trPr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Beispiel 1</w:t>
            </w:r>
          </w:p>
        </w:tc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Beispiel 2</w:t>
            </w:r>
          </w:p>
        </w:tc>
      </w:tr>
      <w:tr>
        <w:trPr>
          <w:cantSplit/>
        </w:trPr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Nicht beschriftete Abbildungen.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Eine Grafik ohne Achsenbeschriftung, ohne Einheit, ohne Bildunterschrift.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Durchgehender Gebrauch von Computerschreibweise ohne andere Formen korrekter mathematischer Kommunikation.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Beides steht namentlich im Handbuch. Beides kostet keine Mathematik – nur Sorgfalt.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Gleich seht ihr acht Ausschnitte. In zweien davon steckt genau das.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Diese Folie ist die Brücke zur Werkstatt. Danach direkt austeilen.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16</w:t>
      </w:r>
      <w:r>
        <w:rPr>
          <w:rFonts w:ascii="Calibri" w:hAnsi="Calibri"/>
          <w:b/>
          <w:color w:val="5E5E5E"/>
          <w:sz w:val="17"/>
        </w:rPr>
        <w:t xml:space="preserve">   ·   ARBEITSAUFTRAG 2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Werkstatt: Finde den Fehler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„Zu jedem der acht Ausschnitte: Welches Kriterium ist betroffen, A oder B? Welcher Teil des Deskriptors ist verletzt? Schreibt bei mindestens vier Ausschnitten die verbesserte Fassung auf.“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2256"/>
        <w:gridCol w:w="2256"/>
        <w:gridCol w:w="2257"/>
        <w:gridCol w:w="2257"/>
      </w:tblGrid>
      <w:tr>
        <w:trPr>
          <w:tblHeader w:val="true"/>
          <w:cantSplit/>
        </w:trPr>
        <w:tc>
          <w:tcPr>
            <w:tcW w:w="225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Zeit</w:t>
            </w:r>
          </w:p>
        </w:tc>
        <w:tc>
          <w:tcPr>
            <w:tcW w:w="225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Ausschnitte</w:t>
            </w:r>
          </w:p>
        </w:tc>
        <w:tc>
          <w:tcPr>
            <w:tcW w:w="2257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Umschreiben</w:t>
            </w:r>
          </w:p>
        </w:tc>
        <w:tc>
          <w:tcPr>
            <w:tcW w:w="2257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Material</w:t>
            </w:r>
          </w:p>
        </w:tc>
      </w:tr>
      <w:tr>
        <w:trPr>
          <w:cantSplit/>
        </w:trPr>
        <w:tc>
          <w:tcPr>
            <w:tcW w:w="225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26 Minuten</w:t>
            </w:r>
          </w:p>
        </w:tc>
        <w:tc>
          <w:tcPr>
            <w:tcW w:w="225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8</w:t>
            </w:r>
          </w:p>
        </w:tc>
        <w:tc>
          <w:tcPr>
            <w:tcW w:w="2257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mindestens 4</w:t>
            </w:r>
          </w:p>
        </w:tc>
        <w:tc>
          <w:tcPr>
            <w:tcW w:w="2257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 5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Ihr bleibt in euren Gruppen von vorhin sitzen: A, B und C. Nicht raten – schlagt in M 4 nach, dort steht der Wortlaut, an dem ihr es festmachen könnt.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 5 jetzt austeilen. Nach 12 Minuten Zwischenruf: Ihr solltet bei Ausschnitt 5 sein. Wer früh fertig ist, schreibt den fünften und sechsten Ausschnitt um.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17</w:t>
      </w:r>
      <w:r>
        <w:rPr>
          <w:rFonts w:ascii="Calibri" w:hAnsi="Calibri"/>
          <w:b/>
          <w:color w:val="5E5E5E"/>
          <w:sz w:val="17"/>
        </w:rPr>
        <w:t xml:space="preserve">   ·   SICHERUNG · 1 VON 2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Die sieben Notationsregeln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600"/>
        <w:gridCol w:w="4200"/>
        <w:gridCol w:w="4226"/>
      </w:tblGrid>
      <w:tr>
        <w:trPr>
          <w:tblHeader w:val="true"/>
          <w:cantSplit/>
        </w:trPr>
        <w:tc>
          <w:tcPr>
            <w:tcW w:w="6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</w:p>
        </w:tc>
        <w:tc>
          <w:tcPr>
            <w:tcW w:w="42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Regel</w:t>
            </w:r>
          </w:p>
        </w:tc>
        <w:tc>
          <w:tcPr>
            <w:tcW w:w="42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Beispiel</w:t>
            </w:r>
          </w:p>
        </w:tc>
      </w:tr>
      <w:tr>
        <w:trPr>
          <w:cantSplit/>
        </w:trPr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1</w:t>
            </w:r>
          </w:p>
        </w:tc>
        <w:tc>
          <w:tcPr>
            <w:tcW w:w="4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Taschenrechner- und Computerschreibweise nur, wenn die Software sie erzeugt hat.</w:t>
            </w:r>
          </w:p>
        </w:tc>
        <w:tc>
          <w:tcPr>
            <w:tcW w:w="42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x² statt x^2.  Die Wurzel als Wurzel, nicht als sqrt.</w:t>
            </w:r>
          </w:p>
        </w:tc>
      </w:tr>
      <w:tr>
        <w:trPr>
          <w:cantSplit/>
        </w:trPr>
        <w:tc>
          <w:tcPr>
            <w:tcW w:w="6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2</w:t>
            </w:r>
          </w:p>
        </w:tc>
        <w:tc>
          <w:tcPr>
            <w:tcW w:w="42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Jede Variable wird bei ihrem ersten Auftreten definiert – mit Einheit.</w:t>
            </w:r>
          </w:p>
        </w:tc>
        <w:tc>
          <w:tcPr>
            <w:tcW w:w="42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„Dabei ist T(t) die Temperatur in °C zum Zeitpunkt t in Minuten.“</w:t>
            </w:r>
          </w:p>
        </w:tc>
      </w:tr>
      <w:tr>
        <w:trPr>
          <w:cantSplit/>
        </w:trPr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3</w:t>
            </w:r>
          </w:p>
        </w:tc>
        <w:tc>
          <w:tcPr>
            <w:tcW w:w="4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Jede Achse hat Beschriftung und Einheit. Jede Abbildung hat Nummer und Unterschrift.</w:t>
            </w:r>
          </w:p>
        </w:tc>
        <w:tc>
          <w:tcPr>
            <w:tcW w:w="42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„Abbildung 3: Trainingsumfang in km pro Woche und Bestzeit in min.“</w:t>
            </w:r>
          </w:p>
        </w:tc>
      </w:tr>
      <w:tr>
        <w:trPr>
          <w:cantSplit/>
        </w:trPr>
        <w:tc>
          <w:tcPr>
            <w:tcW w:w="6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4</w:t>
            </w:r>
          </w:p>
        </w:tc>
        <w:tc>
          <w:tcPr>
            <w:tcW w:w="42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Gleichungen stehen abgesetzt und werden nummeriert, wenn du später auf sie verweist.</w:t>
            </w:r>
          </w:p>
        </w:tc>
        <w:tc>
          <w:tcPr>
            <w:tcW w:w="42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Nicht mitten im Satz verstecken.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Tafelbild 2. An die Tafel schreiben lassen, was die Gruppen gefunden haben, und dann diese Ordnung darüberlegen. M 6 erst danach austeilen.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18</w:t>
      </w:r>
      <w:r>
        <w:rPr>
          <w:rFonts w:ascii="Calibri" w:hAnsi="Calibri"/>
          <w:b/>
          <w:color w:val="5E5E5E"/>
          <w:sz w:val="17"/>
        </w:rPr>
        <w:t xml:space="preserve">   ·   SICHERUNG · 2 VON 2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Die sieben Notationsregeln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600"/>
        <w:gridCol w:w="4200"/>
        <w:gridCol w:w="4226"/>
      </w:tblGrid>
      <w:tr>
        <w:trPr>
          <w:tblHeader w:val="true"/>
          <w:cantSplit/>
        </w:trPr>
        <w:tc>
          <w:tcPr>
            <w:tcW w:w="6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</w:p>
        </w:tc>
        <w:tc>
          <w:tcPr>
            <w:tcW w:w="42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Regel</w:t>
            </w:r>
          </w:p>
        </w:tc>
        <w:tc>
          <w:tcPr>
            <w:tcW w:w="42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Beispiel</w:t>
            </w:r>
          </w:p>
        </w:tc>
      </w:tr>
      <w:tr>
        <w:trPr>
          <w:cantSplit/>
        </w:trPr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5</w:t>
            </w:r>
          </w:p>
        </w:tc>
        <w:tc>
          <w:tcPr>
            <w:tcW w:w="4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Kein Gleichheitszeichen, das nicht stimmt.</w:t>
            </w:r>
          </w:p>
        </w:tc>
        <w:tc>
          <w:tcPr>
            <w:tcW w:w="42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Eine Kette von Umformungen ist keine einzige Gleichung. Jede Zeile muss für sich richtig sein.</w:t>
            </w:r>
          </w:p>
        </w:tc>
      </w:tr>
      <w:tr>
        <w:trPr>
          <w:cantSplit/>
        </w:trPr>
        <w:tc>
          <w:tcPr>
            <w:tcW w:w="6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6</w:t>
            </w:r>
          </w:p>
        </w:tc>
        <w:tc>
          <w:tcPr>
            <w:tcW w:w="42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Runden wird begründet und einheitlich gehandhabt.</w:t>
            </w:r>
          </w:p>
        </w:tc>
        <w:tc>
          <w:tcPr>
            <w:tcW w:w="42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„Alle Zeiten sind auf zwei Nachkommastellen gerundet, weil die Stoppuhr auf 0,01 s genau anzeigt.“</w:t>
            </w:r>
          </w:p>
        </w:tc>
      </w:tr>
      <w:tr>
        <w:trPr>
          <w:cantSplit/>
        </w:trPr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7</w:t>
            </w:r>
          </w:p>
        </w:tc>
        <w:tc>
          <w:tcPr>
            <w:tcW w:w="4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Bilder, Diagramme, Daten und Formeln aus fremden Quellen werden zitiert.</w:t>
            </w:r>
          </w:p>
        </w:tc>
        <w:tc>
          <w:tcPr>
            <w:tcW w:w="42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Auch aus der Formelsammlung, auch aus dem Lehrbuch, auch aus dem Internet.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Diese sieben Regeln sind die billigsten Punkte der ganzen Arbeit. Sie kosten dich Sorgfalt, keine Mathematik.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Jetzt M 6 austeilen – dort stehen alle sieben auf einer Seite.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19</w:t>
      </w:r>
      <w:r>
        <w:rPr>
          <w:rFonts w:ascii="Calibri" w:hAnsi="Calibri"/>
          <w:b/>
          <w:color w:val="5E5E5E"/>
          <w:sz w:val="17"/>
        </w:rPr>
        <w:t xml:space="preserve">   ·   ARBEITSAUFTRAG 3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Vom Interesse zum Themenfeld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„Wählt drei Felder von eurem Interessenblatt aus. Schreibt zu jedem einen Satz, der beginnt: Hier steckt Mathematik drin, weil …“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2256"/>
        <w:gridCol w:w="2256"/>
        <w:gridCol w:w="2257"/>
        <w:gridCol w:w="2257"/>
      </w:tblGrid>
      <w:tr>
        <w:trPr>
          <w:cantSplit/>
        </w:trPr>
        <w:tc>
          <w:tcPr>
            <w:tcW w:w="225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Name 1 und Name 2</w:t>
            </w:r>
          </w:p>
        </w:tc>
        <w:tc>
          <w:tcPr>
            <w:tcW w:w="225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Name 3 und Name 4</w:t>
            </w:r>
          </w:p>
        </w:tc>
        <w:tc>
          <w:tcPr>
            <w:tcW w:w="2257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Name 5 und Name 6</w:t>
            </w:r>
          </w:p>
        </w:tc>
        <w:tc>
          <w:tcPr>
            <w:tcW w:w="2257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Name 7 und Name 8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Name 9  ·  Name 10  ·  Name 11  –  ihr prüft reihum, jeder einmal für jeden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Der Partner prüft nur eins: Steht in dem Satz eine mathematische Tätigkeit – oder nur ein mathematisches Wort?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Zurück in die festen Paare aus Doppelstunde 1. Die drei Felder werden in Doppelstunde 4 gebraucht – einsammeln oder abfotografieren.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20</w:t>
      </w:r>
      <w:r>
        <w:rPr>
          <w:rFonts w:ascii="Calibri" w:hAnsi="Calibri"/>
          <w:b/>
          <w:color w:val="5E5E5E"/>
          <w:sz w:val="17"/>
        </w:rPr>
        <w:t xml:space="preserve">   ·   DIE PROBE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Tätigkeit oder nur ein Wort?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4513"/>
        <w:gridCol w:w="4513"/>
      </w:tblGrid>
      <w:tr>
        <w:trPr>
          <w:tblHeader w:val="true"/>
          <w:cantSplit/>
        </w:trPr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Zählt nicht</w:t>
            </w:r>
          </w:p>
        </w:tc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Zählt</w:t>
            </w:r>
          </w:p>
        </w:tc>
      </w:tr>
      <w:tr>
        <w:trPr>
          <w:cantSplit/>
        </w:trPr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„… weil es etwas mit Statistik zu tun hat.“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„… weil ich die Verspätungen vier Wochen lang aufschreiben und mit einer Verteilung vergleichen kann.“</w:t>
            </w:r>
          </w:p>
        </w:tc>
      </w:tr>
      <w:tr>
        <w:trPr>
          <w:cantSplit/>
        </w:trPr>
        <w:tc>
          <w:tcPr>
            <w:tcW w:w="4513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„… weil Musik viel mit Zahlen zu tun hat.“</w:t>
            </w:r>
          </w:p>
        </w:tc>
        <w:tc>
          <w:tcPr>
            <w:tcW w:w="4513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„… weil ich zwei Stimmungen desselben Akkords als Frequenzverhältnisse schreiben und vergleichen kann.“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In dem Satz muss ein Verb stehen, das eine mathematische Tätigkeit beschreibt: modellieren · optimieren · vergleichen · beweisen · schätzen · anpassen · simulieren · zählen.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Diese Folie stehen lassen, während die Paare arbeiten. Sie beantwortet die meisten Rückfragen von selbst.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21</w:t>
      </w:r>
      <w:r>
        <w:rPr>
          <w:rFonts w:ascii="Calibri" w:hAnsi="Calibri"/>
          <w:b/>
          <w:color w:val="5E5E5E"/>
          <w:sz w:val="17"/>
        </w:rPr>
        <w:t xml:space="preserve">   ·   SO GEHT ES WEITER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Die nächsten beiden Doppelstunden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2600"/>
        <w:gridCol w:w="6426"/>
      </w:tblGrid>
      <w:tr>
        <w:trPr>
          <w:cantSplit/>
        </w:trPr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Doppelstunde 3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Kriterium C, D und E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Was eine gute Arbeit von einer soliden unterscheidet. Hier trennen sich Standard Level und Higher Level zum ersten Mal.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Doppelstunde 4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Themenwerkstatt</w:t>
            </w:r>
          </w:p>
        </w:tc>
        <w:tc>
          <w:tcPr>
            <w:tcW w:w="64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Aus deinen drei Feldern wird eine Frage. Am Ende dieser Stunde hast du eine, die du untersuchen kannst.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Bis zum nächsten Mal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Lies M 6 einmal durch – die sieben Regeln. Und bring deine drei Felder mit; ohne sie kannst du in Doppelstunde 4 nicht arbeiten.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 6 austeilen, falls noch nicht geschehen.</w:t>
            </w:r>
          </w:p>
        </w:tc>
      </w:tr>
    </w:tbl>
    <w:p>
      <w:pPr>
        <w:spacing w:after="120" w:line="288" w:lineRule="auto"/>
      </w:pPr>
    </w:p>
    <w:sectPr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1906" w:h="16838"/>
      <w:pgMar w:top="1300" w:right="1440" w:bottom="130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8" w:space="4" w:color="CFCFCF"/>
      </w:pBdr>
      <w:tabs>
        <w:tab w:val="clear" w:pos="4513"/>
        <w:tab w:val="clear" w:pos="4536"/>
        <w:tab w:val="clear" w:pos="9026"/>
        <w:tab w:val="clear" w:pos="9072"/>
        <w:tab w:val="right" w:pos="9026"/>
      </w:tabs>
      <w:spacing w:before="60"/>
    </w:pPr>
    <w:r/>
    <w:r>
      <w:rPr>
        <w:rFonts w:ascii="Calibri" w:hAnsi="Calibri"/>
        <w:color w:val="9A9A9A"/>
        <w:sz w:val="16"/>
      </w:rPr>
      <w:t>© 2026 Dirk Kehm</w:t>
    </w:r>
    <w:r>
      <w:rPr>
        <w:rFonts w:ascii="Calibri" w:hAnsi="Calibri"/>
        <w:color w:val="9A9A9A"/>
        <w:sz w:val="16"/>
      </w:rPr>
      <w:tab/>
      <w:t xml:space="preserve">Präsentation als Lesefassung  ·  </w:t>
    </w:r>
    <w:r>
      <w:rPr>
        <w:rFonts w:ascii="Calibri" w:hAnsi="Calibri"/>
        <w:b/>
        <w:color w:val="0F3D2A"/>
        <w:sz w:val="16"/>
      </w:rPr>
      <w:fldChar w:fldCharType="begin"/>
    </w:r>
    <w:r>
      <w:rPr>
        <w:rFonts w:ascii="Calibri" w:hAnsi="Calibri"/>
        <w:b/>
        <w:color w:val="0F3D2A"/>
        <w:sz w:val="16"/>
      </w:rPr>
      <w:instrText xml:space="preserve">PAGE</w:instrText>
    </w:r>
    <w:r>
      <w:rPr>
        <w:rFonts w:ascii="Calibri" w:hAnsi="Calibri"/>
        <w:b/>
        <w:color w:val="0F3D2A"/>
        <w:sz w:val="16"/>
      </w:rPr>
      <w:fldChar w:fldCharType="separate"/>
    </w:r>
    <w:r>
      <w:rPr>
        <w:rFonts w:ascii="Calibri" w:hAnsi="Calibri"/>
        <w:b/>
        <w:color w:val="0F3D2A"/>
        <w:sz w:val="16"/>
      </w:rPr>
      <w:t>1</w:t>
    </w:r>
    <w:r>
      <w:rPr>
        <w:rFonts w:ascii="Calibri" w:hAnsi="Calibri"/>
        <w:b/>
        <w:color w:val="0F3D2A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bottom w:val="single" w:sz="8" w:space="2" w:color="8FB840"/>
      </w:pBdr>
      <w:tabs>
        <w:tab w:val="clear" w:pos="4513"/>
        <w:tab w:val="clear" w:pos="4536"/>
        <w:tab w:val="clear" w:pos="9026"/>
        <w:tab w:val="clear" w:pos="9072"/>
        <w:tab w:val="right" w:pos="9026"/>
      </w:tabs>
    </w:pPr>
    <w:r/>
    <w:r>
      <w:rPr>
        <w:rFonts w:ascii="Calibri" w:hAnsi="Calibri"/>
        <w:b/>
        <w:color w:val="0F3D2A"/>
        <w:spacing w:val="30"/>
        <w:sz w:val="16"/>
      </w:rPr>
      <w:t>DIE ERKUNDUNGSARBEIT  ·  DOPPELSTUNDE 2</w:t>
    </w:r>
    <w:r>
      <w:rPr>
        <w:rFonts w:ascii="Calibri" w:hAnsi="Calibri"/>
        <w:color w:val="808080"/>
        <w:sz w:val="16"/>
      </w:rPr>
      <w:tab/>
      <w:t>Präsentation als Lesefassung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8" w:lineRule="auto"/>
    </w:pPr>
    <w:rPr>
      <w:rFonts w:ascii="Cambria" w:hAnsi="Cambria" w:eastAsia="Cambria" w:cs="Cambria"/>
      <w:color w:val="1C1C1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PTeil">
    <w:name w:val="KP Teil"/>
    <w:basedOn w:val="Normal"/>
    <w:pPr>
      <w:keepNext/>
      <w:spacing w:before="0" w:after="280" w:line="288" w:lineRule="auto"/>
      <w:outlineLvl w:val="0"/>
      <w:pBdr>
        <w:bottom w:val="single" w:sz="18" w:space="6" w:color="8FB840"/>
      </w:pBdr>
    </w:pPr>
    <w:rPr>
      <w:rFonts w:ascii="Calibri" w:hAnsi="Calibri" w:eastAsia="Calibri" w:cs="Calibri"/>
      <w:b/>
      <w:i w:val="0"/>
      <w:color w:val="0F3D2A"/>
      <w:sz w:val="44"/>
    </w:rPr>
  </w:style>
  <w:style w:type="paragraph" w:customStyle="1" w:styleId="KPKapitel">
    <w:name w:val="KP Kapitel"/>
    <w:basedOn w:val="Normal"/>
    <w:pPr>
      <w:keepNext/>
      <w:spacing w:before="280" w:after="200" w:line="288" w:lineRule="auto"/>
      <w:outlineLvl w:val="1"/>
      <w:pBdr>
        <w:bottom w:val="single" w:sz="12" w:space="5" w:color="8FB840"/>
      </w:pBdr>
    </w:pPr>
    <w:rPr>
      <w:rFonts w:ascii="Calibri" w:hAnsi="Calibri" w:eastAsia="Calibri" w:cs="Calibri"/>
      <w:b/>
      <w:i w:val="0"/>
      <w:color w:val="0F3D2A"/>
      <w:sz w:val="32"/>
    </w:rPr>
  </w:style>
  <w:style w:type="paragraph" w:customStyle="1" w:styleId="KPAbschnitt">
    <w:name w:val="KP Abschnitt"/>
    <w:basedOn w:val="Normal"/>
    <w:pPr>
      <w:keepNext/>
      <w:spacing w:before="200" w:after="120" w:line="288" w:lineRule="auto"/>
      <w:outlineLvl w:val="2"/>
      <w:pBdr>
        <w:bottom w:val="single" w:sz="6" w:space="4" w:color="DCE8C2"/>
      </w:pBdr>
    </w:pPr>
    <w:rPr>
      <w:rFonts w:ascii="Calibri" w:hAnsi="Calibri" w:eastAsia="Calibri" w:cs="Calibri"/>
      <w:b/>
      <w:i w:val="0"/>
      <w:color w:val="0F3D2A"/>
      <w:sz w:val="24"/>
    </w:rPr>
  </w:style>
  <w:style w:type="paragraph" w:customStyle="1" w:styleId="KPUnterpunkt">
    <w:name w:val="KP Unterpunkt"/>
    <w:basedOn w:val="Normal"/>
    <w:pPr>
      <w:keepNext/>
      <w:spacing w:before="160" w:after="80" w:line="288" w:lineRule="auto"/>
      <w:outlineLvl w:val="3"/>
    </w:pPr>
    <w:rPr>
      <w:rFonts w:ascii="Calibri" w:hAnsi="Calibri" w:eastAsia="Calibri" w:cs="Calibri"/>
      <w:b/>
      <w:i w:val="0"/>
      <w:color w:val="0F3D2A"/>
      <w:sz w:val="21"/>
    </w:rPr>
  </w:style>
  <w:style w:type="paragraph" w:customStyle="1" w:styleId="KPBlocktitel">
    <w:name w:val="KP Blocktitel"/>
    <w:basedOn w:val="Normal"/>
    <w:pPr>
      <w:keepNext/>
      <w:spacing w:before="240" w:after="160" w:line="288" w:lineRule="auto"/>
      <w:outlineLvl w:val="2"/>
      <w:pBdr>
        <w:bottom w:val="single" w:sz="12" w:space="5" w:color="8FB840"/>
      </w:pBdr>
    </w:pPr>
    <w:rPr>
      <w:rFonts w:ascii="Calibri" w:hAnsi="Calibri" w:eastAsia="Calibri" w:cs="Calibri"/>
      <w:b/>
      <w:i w:val="0"/>
      <w:color w:val="0F3D2A"/>
      <w:sz w:val="28"/>
    </w:rPr>
  </w:style>
  <w:style w:type="paragraph" w:customStyle="1" w:styleId="KPFeldname">
    <w:name w:val="KP Feldname"/>
    <w:basedOn w:val="Normal"/>
    <w:pPr>
      <w:keepNext/>
      <w:spacing w:before="120" w:after="40" w:line="288" w:lineRule="auto"/>
    </w:pPr>
    <w:rPr>
      <w:rFonts w:ascii="Calibri" w:hAnsi="Calibri" w:eastAsia="Calibri" w:cs="Calibri"/>
      <w:b/>
      <w:i w:val="0"/>
      <w:color w:val="0F3D2A"/>
      <w:sz w:val="19"/>
    </w:rPr>
  </w:style>
  <w:style w:type="paragraph" w:customStyle="1" w:styleId="KPFließtext">
    <w:name w:val="KP Fließtext"/>
    <w:basedOn w:val="Normal"/>
    <w:pPr>
      <w:keepNext w:val="0"/>
      <w:spacing w:before="0" w:after="120" w:line="288" w:lineRule="auto"/>
    </w:pPr>
    <w:rPr>
      <w:rFonts w:ascii="Cambria" w:hAnsi="Cambria" w:eastAsia="Cambria" w:cs="Cambria"/>
      <w:b w:val="0"/>
      <w:i w:val="0"/>
      <w:color w:val="1C1C1C"/>
      <w:sz w:val="22"/>
    </w:rPr>
  </w:style>
  <w:style w:type="paragraph" w:customStyle="1" w:styleId="KPKlein">
    <w:name w:val="KP Klein"/>
    <w:basedOn w:val="Normal"/>
    <w:pPr>
      <w:keepNext w:val="0"/>
      <w:spacing w:before="0" w:after="80" w:line="288" w:lineRule="auto"/>
    </w:pPr>
    <w:rPr>
      <w:rFonts w:ascii="Calibri" w:hAnsi="Calibri" w:eastAsia="Calibri" w:cs="Calibri"/>
      <w:b w:val="0"/>
      <w:i w:val="0"/>
      <w:color w:val="5E5E5E"/>
      <w:sz w:val="18"/>
    </w:rPr>
  </w:style>
  <w:style w:type="paragraph" w:customStyle="1" w:styleId="KPKasten">
    <w:name w:val="KP Kasten"/>
    <w:basedOn w:val="Normal"/>
    <w:pPr>
      <w:keepNext w:val="0"/>
      <w:spacing w:before="0" w:after="80" w:line="288" w:lineRule="auto"/>
    </w:pPr>
    <w:rPr>
      <w:rFonts w:ascii="Cambria" w:hAnsi="Cambria" w:eastAsia="Cambria" w:cs="Cambria"/>
      <w:b w:val="0"/>
      <w:i w:val="0"/>
      <w:color w:val="1C1C1C"/>
      <w:sz w:val="20"/>
    </w:rPr>
  </w:style>
  <w:style w:type="paragraph" w:customStyle="1" w:styleId="KPListe">
    <w:name w:val="KP Liste"/>
    <w:basedOn w:val="Normal"/>
    <w:pPr>
      <w:keepNext w:val="0"/>
      <w:spacing w:before="0" w:after="60" w:line="288" w:lineRule="auto"/>
      <w:ind w:left="397" w:hanging="397"/>
    </w:pPr>
    <w:rPr>
      <w:rFonts w:ascii="Cambria" w:hAnsi="Cambria" w:eastAsia="Cambria" w:cs="Cambria"/>
      <w:b w:val="0"/>
      <w:i w:val="0"/>
      <w:color w:val="1C1C1C"/>
      <w:sz w:val="22"/>
    </w:rPr>
  </w:style>
  <w:style w:type="paragraph" w:customStyle="1" w:styleId="KPListekompakt">
    <w:name w:val="KP Liste kompakt"/>
    <w:basedOn w:val="Normal"/>
    <w:pPr>
      <w:keepNext w:val="0"/>
      <w:spacing w:before="0" w:after="20" w:line="264" w:lineRule="auto"/>
      <w:ind w:left="340" w:hanging="340"/>
    </w:pPr>
    <w:rPr>
      <w:rFonts w:ascii="Cambria" w:hAnsi="Cambria" w:eastAsia="Cambria" w:cs="Cambria"/>
      <w:b w:val="0"/>
      <w:i w:val="0"/>
      <w:color w:val="1C1C1C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Dirk Kehm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