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900" w:line="288" w:lineRule="auto"/>
      </w:pPr>
    </w:p>
    <w:p>
      <w:pPr>
        <w:spacing w:after="60" w:line="288" w:lineRule="auto"/>
      </w:pPr>
      <w:r>
        <w:rPr>
          <w:rFonts w:ascii="Calibri" w:hAnsi="Calibri"/>
          <w:b/>
          <w:color w:val="0F3D2A"/>
          <w:sz w:val="56"/>
        </w:rPr>
        <w:t xml:space="preserve">Themenwerkstatt</w:t>
      </w:r>
    </w:p>
    <w:p>
      <w:pPr>
        <w:spacing w:after="200" w:line="288" w:lineRule="auto"/>
        <w:pBdr>
          <w:bottom w:val="single" w:sz="6" w:space="4" w:color="8FB840"/>
        </w:pBdr>
      </w:pPr>
      <w:r>
        <w:rPr>
          <w:rFonts w:ascii="Calibri" w:hAnsi="Calibri"/>
          <w:b/>
          <w:color w:val="8FB840"/>
          <w:sz w:val="40"/>
        </w:rPr>
        <w:t xml:space="preserve">Doppelstunde 4</w:t>
      </w:r>
    </w:p>
    <w:p>
      <w:pPr>
        <w:spacing w:after="140" w:line="288" w:lineRule="auto"/>
      </w:pPr>
      <w:r>
        <w:rPr>
          <w:rFonts w:ascii="Cambria" w:hAnsi="Cambria"/>
          <w:color w:val="1C1C1C"/>
          <w:sz w:val="28"/>
        </w:rPr>
        <w:t xml:space="preserve">Die Präsentation als Lesefassung</w:t>
      </w:r>
    </w:p>
    <w:p>
      <w:pPr>
        <w:spacing w:after="500" w:line="288" w:lineRule="auto"/>
      </w:pPr>
      <w:r>
        <w:rPr>
          <w:rFonts w:ascii="Cambria" w:hAnsi="Cambria"/>
          <w:color w:val="5E5E5E"/>
          <w:sz w:val="22"/>
        </w:rPr>
        <w:t xml:space="preserve">Alle 18 Folien im Wortlaut, mit den Arbeitsaufträgen, den Einteilungen und den Notizen für dich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Wozu diese Fassung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Dieselben Inhalte wie die Datei „IA_DS4_Praesentation.pptx“, nur zum Lesen, Ausdrucken und Ändern. Am Pult brauchst du diese Seiten, an der Wand die Folien.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Material: M 9 zweifach je Person, M 10 dreifach je Gruppe, M 13 nur bei Bedarf. Trichterblätter am Ende einsammeln – sie sind die Grundlage für Doppelstunde 6.</w:t>
            </w:r>
          </w:p>
        </w:tc>
      </w:tr>
    </w:tbl>
    <w:p>
      <w:pPr>
        <w:spacing w:after="120" w:line="288" w:lineRule="auto"/>
      </w:pPr>
    </w:p>
    <w:p>
      <w:pPr>
        <w:spacing w:after="400" w:line="288" w:lineRule="auto"/>
      </w:pPr>
    </w:p>
    <w:p>
      <w:pPr>
        <w:pStyle w:val="KPKlein"/>
        <w:spacing w:line="288" w:lineRule="auto"/>
      </w:pPr>
      <w:r>
        <w:rPr>
          <w:rFonts w:ascii="Calibri" w:hAnsi="Calibri"/>
          <w:color w:val="5E5E5E"/>
          <w:sz w:val="18"/>
        </w:rPr>
        <w:t xml:space="preserve">Dirk Kehm  ·  IGS Ho-Chi-Minh-Stadt  ·  Stand: 3. Oktober 2026</w:t>
      </w: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</w:t>
      </w:r>
      <w:r>
        <w:rPr>
          <w:rFonts w:ascii="Calibri" w:hAnsi="Calibri"/>
          <w:b/>
          <w:color w:val="5E5E5E"/>
          <w:sz w:val="17"/>
        </w:rPr>
        <w:t xml:space="preserve">   ·   TITELFOLIE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Themenwerkstatt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Oberzeile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Jahr 1  ·  Doppelstunde 4 von 6  ·  Internal Assessment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Untertitel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Von der Neugier zur Frage – am Ende der Stunde steht dein Satz mit Fragezeichen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Fußzeile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90 Minuten  ·  Einzelarbeit und Dreiergruppen  ·  Material M 9, M 10, M 13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 ist die Stunde mit dem größten Ertrag pro Minute. Wer heute eine Frage hat, hat die Erkundungsarbeit halb gewonnen. Nicht über die Zeit laufen lassen – die Beratungsrunde ab Minute 64 braucht ihre Zeit.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</w:t>
      </w:r>
      <w:r>
        <w:rPr>
          <w:rFonts w:ascii="Calibri" w:hAnsi="Calibri"/>
          <w:b/>
          <w:color w:val="5E5E5E"/>
          <w:sz w:val="17"/>
        </w:rPr>
        <w:t xml:space="preserve">   ·   FAHRPLAN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heute passiert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5326"/>
        <w:gridCol w:w="2300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Minute</w:t>
            </w:r>
          </w:p>
        </w:tc>
        <w:tc>
          <w:tcPr>
            <w:tcW w:w="53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3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Sozialform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00–16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Trichter und die drei Bauarten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Input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16–34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Trichter füllen – zwei Felder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34–64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Fragenschmiede – drei Runden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64–80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Beratungsrunde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Beratung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80–90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 Satz mit Fragezeichen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Minutenangaben laut vorlesen. Heute ist die Stunde, in der am ehesten Zeit verlorengeht.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3</w:t>
      </w:r>
      <w:r>
        <w:rPr>
          <w:rFonts w:ascii="Calibri" w:hAnsi="Calibri"/>
          <w:b/>
          <w:color w:val="5E5E5E"/>
          <w:sz w:val="17"/>
        </w:rPr>
        <w:t xml:space="preserve">   ·   RÜCKBLICK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Wo wir stehen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ihr mitgebracht habt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heute daraus wird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Interessenfelder je Person – aus Doppelstunde 2.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Dazu das Urteil aus Doppelstunde 3: Welche Mathematik trägt für euren Kurs?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vorläufige Fragestellung. Ein Satz, der mit einem Fragezeichen endet.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endgültig – aber tragfähig genug, um damit anzufangen.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Ein Thema ist noch keine Frage. Und ohne Frage gibt es nichts zu erkunden.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Wer die Felder vergessen hat, bekommt zwei Minuten, sie neu aufzuschreiben. Nicht länger.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4</w:t>
      </w:r>
      <w:r>
        <w:rPr>
          <w:rFonts w:ascii="Calibri" w:hAnsi="Calibri"/>
          <w:b/>
          <w:color w:val="5E5E5E"/>
          <w:sz w:val="17"/>
        </w:rPr>
        <w:t xml:space="preserve">   ·   INPUT 5 · DER TRICHTER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Vier Stufen von oben nach unten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500"/>
        <w:gridCol w:w="2100"/>
        <w:gridCol w:w="6426"/>
      </w:tblGrid>
      <w:tr>
        <w:trPr>
          <w:tblHeader w:val="true"/>
          <w:cantSplit/>
        </w:trPr>
        <w:tc>
          <w:tcPr>
            <w:tcW w:w="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Stufe</w:t>
            </w:r>
          </w:p>
        </w:tc>
        <w:tc>
          <w:tcPr>
            <w:tcW w:w="6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hineingehört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Interessenfeld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Feld aus deinem Interessenblatt. Ein bis drei Wörter.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Phänomen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Etwas Konkretes, das dir daran auffällt: etwas, das sich verändert, ungleich verteilt ist, sich vergleichen oder optimieren lässt.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Frage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Frage, die mit einem Fragezeichen endet – und die eine Rechnung beantworten kann.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</w:t>
            </w:r>
          </w:p>
        </w:tc>
        <w:tc>
          <w:tcPr>
            <w:tcW w:w="2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Mathematik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Welche Verfahren brauchst du? Welche Blöcke aus dem Kursbuch? Woher kommen Daten oder Modell?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Reihenfolge ist der ganze Trick: von weit nach eng. Wer bei der Mathematik anfängt, baut sich eine Aufgabe und keine Erkundung.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5</w:t>
      </w:r>
      <w:r>
        <w:rPr>
          <w:rFonts w:ascii="Calibri" w:hAnsi="Calibri"/>
          <w:b/>
          <w:color w:val="5E5E5E"/>
          <w:sz w:val="17"/>
        </w:rPr>
        <w:t xml:space="preserve">   ·   BEISPIEL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Ein Trichter, der trägt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00"/>
        <w:gridCol w:w="6826"/>
      </w:tblGrid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Interessenfeld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Kaffee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Phänomen</w:t>
            </w:r>
          </w:p>
        </w:tc>
        <w:tc>
          <w:tcPr>
            <w:tcW w:w="6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Kaffee kühlt schnell ab, aber nicht gleichmäßig.</w:t>
            </w:r>
          </w:p>
        </w:tc>
      </w:tr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Frage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gut beschreibt ein exponentielles Modell die Abkühlung meines Kaffees – und ab wann versagt es?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Mathematik</w:t>
            </w:r>
          </w:p>
        </w:tc>
        <w:tc>
          <w:tcPr>
            <w:tcW w:w="6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Exponentialfunktion, Regression, Ableitung. Blöcke B 2.7, B 4.2, B 5.2. Daten: eigene Messreihe, 30 Minuten, alle zwei Minuten.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Beachte, was in Stufe 3 steckt: ein Vergleich mit der Wirklichkeit und eine Grenze.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Dieses Beispiel ist Muster B. Das sagst du aber erst in Doppelstunde 5 – sonst lesen sie heute schon die Arbeit statt selbst zu denken.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6</w:t>
      </w:r>
      <w:r>
        <w:rPr>
          <w:rFonts w:ascii="Calibri" w:hAnsi="Calibri"/>
          <w:b/>
          <w:color w:val="5E5E5E"/>
          <w:sz w:val="17"/>
        </w:rPr>
        <w:t xml:space="preserve">   ·   GEGENBEISPIEL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Ein Trichter, der scheitert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00"/>
        <w:gridCol w:w="6826"/>
      </w:tblGrid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Interessenfeld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Musik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Phänomen</w:t>
            </w:r>
          </w:p>
        </w:tc>
        <w:tc>
          <w:tcPr>
            <w:tcW w:w="6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Klavierton klingt anders als eine Gitarre, obwohl beide dieselbe Tonhöhe haben.</w:t>
            </w:r>
          </w:p>
        </w:tc>
      </w:tr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Frage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setzt sich ein Klavierton aus Obertönen zusammen? – Fourier-Analyse.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Mathematik</w:t>
            </w:r>
          </w:p>
        </w:tc>
        <w:tc>
          <w:tcPr>
            <w:tcW w:w="6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Fourier-Reihen. Steht in keinem der beiden Lehrpläne.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8E7E7"/>
            <w:tcBorders>
              <w:left w:val="single" w:sz="26" w:space="0" w:color="C0272D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C0272D"/>
                <w:sz w:val="22"/>
              </w:rPr>
              <w:t xml:space="preserve">Woran es scheitert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Zu groß, zu weit weg vom Lehrplan – und die Rechnung steht fertig im Netz. Rettung: „Wie gut lässt sich mein Klavierton durch die Summe von drei Sinusfunktionen beschreiben?“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Rettung an der Tafel entwickeln lassen, nicht vorsagen. Die Lerngruppe kommt meistens selbst darauf, dass man die Zahl der Obertöne begrenzen kann.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7</w:t>
      </w:r>
      <w:r>
        <w:rPr>
          <w:rFonts w:ascii="Calibri" w:hAnsi="Calibri"/>
          <w:b/>
          <w:color w:val="5E5E5E"/>
          <w:sz w:val="17"/>
        </w:rPr>
        <w:t xml:space="preserve">   ·   INPUT 5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drei Bauarten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500"/>
        <w:gridCol w:w="1900"/>
        <w:gridCol w:w="3400"/>
        <w:gridCol w:w="2226"/>
      </w:tblGrid>
      <w:tr>
        <w:trPr>
          <w:tblHeader w:val="true"/>
          <w:cantSplit/>
        </w:trPr>
        <w:tc>
          <w:tcPr>
            <w:tcW w:w="1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Bauart</w:t>
            </w:r>
          </w:p>
        </w:tc>
        <w:tc>
          <w:tcPr>
            <w:tcW w:w="1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Du hast …</w:t>
            </w:r>
          </w:p>
        </w:tc>
        <w:tc>
          <w:tcPr>
            <w:tcW w:w="3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Du tust …</w:t>
            </w:r>
          </w:p>
        </w:tc>
        <w:tc>
          <w:tcPr>
            <w:tcW w:w="22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Typische Frageform</w:t>
            </w:r>
          </w:p>
        </w:tc>
      </w:tr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Modellierung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Daten oder eine Situation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eine Funktion suchen, die sie beschreibt; prüfen, wie gut sie passt; zeigen, wo sie versagt</w:t>
            </w:r>
          </w:p>
        </w:tc>
        <w:tc>
          <w:tcPr>
            <w:tcW w:w="2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„Wie gut beschreibt … das Verhalten von …?“</w:t>
            </w:r>
          </w:p>
        </w:tc>
      </w:tr>
      <w:tr>
        <w:trPr>
          <w:cantSplit/>
        </w:trPr>
        <w:tc>
          <w:tcPr>
            <w:tcW w:w="1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Untersuchung</w:t>
            </w:r>
          </w:p>
        </w:tc>
        <w:tc>
          <w:tcPr>
            <w:tcW w:w="1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ein mathematisches Objekt</w:t>
            </w:r>
          </w:p>
        </w:tc>
        <w:tc>
          <w:tcPr>
            <w:tcW w:w="3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es verändern, ein Muster vermuten, prüfen, verallgemeinern, beweisen</w:t>
            </w:r>
          </w:p>
        </w:tc>
        <w:tc>
          <w:tcPr>
            <w:tcW w:w="2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„Was passiert mit …, wenn ich … ändere?“</w:t>
            </w:r>
          </w:p>
        </w:tc>
      </w:tr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Anwendung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eine echte Entscheidung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mindestens zwei Möglichkeiten mit Mathematik vergleichen und die Wahl begründen</w:t>
            </w:r>
          </w:p>
        </w:tc>
        <w:tc>
          <w:tcPr>
            <w:tcW w:w="2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„Welche von … ist für … die beste, und warum?“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Fragen lassen, welche Bauart zum Kaffeebeispiel passt. Antwort: Modellierung. Danach weiter.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8</w:t>
      </w:r>
      <w:r>
        <w:rPr>
          <w:rFonts w:ascii="Calibri" w:hAnsi="Calibri"/>
          <w:b/>
          <w:color w:val="5E5E5E"/>
          <w:sz w:val="17"/>
        </w:rPr>
        <w:t xml:space="preserve">   ·   VORSICHT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häufigste Falle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8E7E7"/>
            <w:tcBorders>
              <w:left w:val="single" w:sz="26" w:space="0" w:color="C0272D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C0272D"/>
                <w:sz w:val="22"/>
              </w:rPr>
              <w:t xml:space="preserve">Das sind keine Erkundungsfragen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„Wie funktioniert …?“      „Welche Rolle spielt … in …?“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„Die Geschichte von …“      „Die Bedeutung von … für …“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Referatsfrage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Erkundungsfrage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Kann man nachschlagen. Am Ende steht ein Text über Mathematik.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Kann man nur ausrechnen. Am Ende steht Mathematik, die du gemacht hast.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Gegenfrage lautet immer: Welche Rechnung beantwortet das?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IB sagt ausdrücklich: Rein beschreibende historische Themen sind nicht geeignet. Das steht auch auf M 9.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9</w:t>
      </w:r>
      <w:r>
        <w:rPr>
          <w:rFonts w:ascii="Calibri" w:hAnsi="Calibri"/>
          <w:b/>
          <w:color w:val="5E5E5E"/>
          <w:sz w:val="17"/>
        </w:rPr>
        <w:t xml:space="preserve">   ·   TECHNIK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Vom Impuls zur Frage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Die IB empfiehlt eine Mindmap: ein Impuls in die Mitte, Äste nach außen, an den Enden Fragen. In den Lehrerhandreichungen steht das am Impuls „Wasser“ durchgespielt.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800"/>
        <w:gridCol w:w="7226"/>
      </w:tblGrid>
      <w:tr>
        <w:trPr>
          <w:cantSplit/>
        </w:trPr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Wasser</w:t>
            </w:r>
          </w:p>
        </w:tc>
        <w:tc>
          <w:tcPr>
            <w:tcW w:w="7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viel Wasser ist auf der Welt vorhanden?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Modellierung von Wasserständen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Größe und Geometrie der Segel beim America's Cup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Regen – vom Tröpfeln bis zum sintflutartigen Regen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Einfluss von gesättigtem Salzwasser auf die polaren Eiskappen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Der Impuls ist der Stamm, nicht der Titel.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Mindmap mit einem Impuls der Lerngruppe an der Tafel entwickeln, bevor sie selbst anfangen. Fünf Minuten genügen.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10</w:t>
      </w:r>
      <w:r>
        <w:rPr>
          <w:rFonts w:ascii="Calibri" w:hAnsi="Calibri"/>
          <w:b/>
          <w:color w:val="5E5E5E"/>
          <w:sz w:val="17"/>
        </w:rPr>
        <w:t xml:space="preserve">   ·   ARBEITSAUFTRAG 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Trichter füllen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„Füllt das Trichterblatt für zwei eurer drei Felder aus. Erst die Frage, dann die Mathematik – nicht umgekehrt.“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500"/>
        <w:gridCol w:w="2500"/>
        <w:gridCol w:w="6026"/>
      </w:tblGrid>
      <w:tr>
        <w:trPr>
          <w:tblHeader w:val="true"/>
          <w:cantSplit/>
        </w:trPr>
        <w:tc>
          <w:tcPr>
            <w:tcW w:w="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Regel</w:t>
            </w:r>
          </w:p>
        </w:tc>
        <w:tc>
          <w:tcPr>
            <w:tcW w:w="60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Warum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Zwei Blätter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Jedes Feld bekommt sein eigenes Blatt. Zwei Trichter, damit ihr am Ende etwas zu vergleichen habt.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Stufe 3 ist die Arbeit</w:t>
            </w:r>
          </w:p>
        </w:tc>
        <w:tc>
          <w:tcPr>
            <w:tcW w:w="60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Frage endet mit einem Fragezeichen. Und eine Rechnung muss sie beantworten können.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Stufe 4 ehrlich ausfüllen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Wenn du nicht hinschreiben kannst, welche Blöcke du brauchst, trägt die Frage noch nicht.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18 Minuten, jede und jeder für sich. Reden kommt gleich.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9 zweifach je Person austeilen. Still arbeiten lassen – das Gespräch kommt in der Schmiede.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11</w:t>
      </w:r>
      <w:r>
        <w:rPr>
          <w:rFonts w:ascii="Calibri" w:hAnsi="Calibri"/>
          <w:b/>
          <w:color w:val="5E5E5E"/>
          <w:sz w:val="17"/>
        </w:rPr>
        <w:t xml:space="preserve">   ·   ARBEITSAUFTRAG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Fragenschmiede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„Jede Frage kommt einmal auf den Amboss. Die anderen prüfen mit den drei Karten und schlagen genau eine Änderung vor – die wichtigste.“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900"/>
        <w:gridCol w:w="7126"/>
      </w:tblGrid>
      <w:tr>
        <w:trPr>
          <w:cantSplit/>
        </w:trPr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Zwei Minuten</w:t>
            </w:r>
          </w:p>
        </w:tc>
        <w:tc>
          <w:tcPr>
            <w:tcW w:w="7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Person stellt ihre Frage vor: Feld, Phänomen, Frage, Mathematik.</w:t>
            </w:r>
          </w:p>
        </w:tc>
      </w:tr>
      <w:tr>
        <w:trPr>
          <w:cantSplit/>
        </w:trPr>
        <w:tc>
          <w:tcPr>
            <w:tcW w:w="1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Acht Minuten</w:t>
            </w:r>
          </w:p>
        </w:tc>
        <w:tc>
          <w:tcPr>
            <w:tcW w:w="7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anderen prüfen mit Karte 1, 2 und 3 – in dieser Reihenfolge.</w:t>
            </w:r>
          </w:p>
        </w:tc>
      </w:tr>
      <w:tr>
        <w:trPr>
          <w:cantSplit/>
        </w:trPr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Am Ende</w:t>
            </w:r>
          </w:p>
        </w:tc>
        <w:tc>
          <w:tcPr>
            <w:tcW w:w="7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Änderungsvorschlag. Nur einer. Die Person schreibt ihn mit.</w:t>
            </w:r>
          </w:p>
        </w:tc>
      </w:tr>
      <w:tr>
        <w:trPr>
          <w:cantSplit/>
        </w:trPr>
        <w:tc>
          <w:tcPr>
            <w:tcW w:w="1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Wichtig</w:t>
            </w:r>
          </w:p>
        </w:tc>
        <w:tc>
          <w:tcPr>
            <w:tcW w:w="7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Wer geprüft wird, schreibt mit und redet nicht dazwischen.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30 Minuten. Dreiergruppen: drei Runden à zehn Minuten. Vierergruppen: vier Runden à siebeneinhalb.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Zeit je Runde laut ansagen und durchsetzen. Ohne Zeitnahme reden die Gruppen die ganze halbe Stunde über die erste Frage.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12</w:t>
      </w:r>
      <w:r>
        <w:rPr>
          <w:rFonts w:ascii="Calibri" w:hAnsi="Calibri"/>
          <w:b/>
          <w:color w:val="5E5E5E"/>
          <w:sz w:val="17"/>
        </w:rPr>
        <w:t xml:space="preserve">   ·   MATERIAL M 10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drei Prüfkarten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Karte 1 – Eigener Anteil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Karte 2 – Umfang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Karte 3 – Daten oder Modell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Welche Rechnung beantwortet diese Frage?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Steht das Ergebnis schon irgendwo fertig?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Was genau bleibt für dich zu tun?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Wenn niemand am Tisch die Rechnung benennen kann, ist die Frage noch keine Frage.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Bist du nach einer Seite fertig – oder nach fünfzig?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Kannst du die Frage in einem Satz erklären?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Gibt es eine Erweiterung, falls es zu wenig wird?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Verkleinern heißt: ein konkreter Fall statt einer ganzen Klasse von Fällen.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Woher kommen deine Zahlen?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Kannst du sie selbst erheben – und wie lange dauert das?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Sind es genug, damit dein Verfahren gültig ist?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Bei fremden Daten: Weißt du, wie sie entstanden sind, und kannst du das zitieren?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10 dreifach je Gruppe – jede Karte einmal pro Tisch, damit alle drei gleichzeitig prüfen können. Entlang der Linien schneiden.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13</w:t>
      </w:r>
      <w:r>
        <w:rPr>
          <w:rFonts w:ascii="Calibri" w:hAnsi="Calibri"/>
          <w:b/>
          <w:color w:val="5E5E5E"/>
          <w:sz w:val="17"/>
        </w:rPr>
        <w:t xml:space="preserve">   ·   GRUPPENARBEIT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drei Schmieden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Schmiede 1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Schmiede 2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Schmiede 3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8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11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4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10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2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6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9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Neu gemischt: niemand sitzt mit dem eigenen Partner. Schmiede 3 hat drei Personen und damit zehn Minuten je Runde; Schmiede 1 und 2 haben vier und machen vier Runden à siebeneinhalb Minuten.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Was auf dem Tisch liegt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Deine beiden Trichterblätter, die drei Prüfkarten und ein Stift. Sonst nichts – das Handy bleibt weg, sonst wird aus der Schmiede eine Suchmaschine.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Vierergruppen laufen schneller aus dem Takt. Dort nach zwei Runden einmal nachsehen.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14</w:t>
      </w:r>
      <w:r>
        <w:rPr>
          <w:rFonts w:ascii="Calibri" w:hAnsi="Calibri"/>
          <w:b/>
          <w:color w:val="5E5E5E"/>
          <w:sz w:val="17"/>
        </w:rPr>
        <w:t xml:space="preserve">   ·   MINUTE 64 BIS 80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Beratungsrunde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Ich komme zu euch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Ihr arbeitet weiter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Ich gehe von Tisch zu Tisch und berate die Fälle, die in der Schmiede hängengeblieben sind.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Sagt mir, woran es hängt – nicht die ganze Geschichte.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Am zweiten Trichter, oder an der Schärfung eurer Frage.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Wer durch ist: Schreib Stufe 4 vollständig aus, mit Blocknummern.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Wenn gar nichts kommt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Dann bekommst du M 13 – den Themenkatalog mit der Impulsliste der IB und je zwölf Fragen für Standard Level und Higher Level. Aber erst jetzt: Vorher ausgeteilt, schaltet er die eigene Suche ab.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13 nicht auf den Tisch legen, sondern einzeln aushändigen. Wer ihn bekommt, bekommt auch die Ansage dazu: Jeder Eintrag muss noch zu deiner eigenen Frage werden.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15</w:t>
      </w:r>
      <w:r>
        <w:rPr>
          <w:rFonts w:ascii="Calibri" w:hAnsi="Calibri"/>
          <w:b/>
          <w:color w:val="5E5E5E"/>
          <w:sz w:val="17"/>
        </w:rPr>
        <w:t xml:space="preserve">   ·   MATERIAL M 13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Der Themenkatalog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M 13 hat drei Teile. Der erste ist die offizielle Impulsliste der IB – 40 Stichwörter aus den Lehrerhandreichungen.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Standard Level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Higher Level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Zwölf Fragen mit Blocknummern und je einem Hinweis, worauf du achten musst.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Zwölf zusätzliche Fragen, die Anspruch und Stringenz überhaupt möglich machen.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Hinweis laut geben: Zwei Arbeiten mit demselben Titel sind zwei sehr verschiedene Arbeiten – oder ein Fall für die akademische Redlichkeit.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16</w:t>
      </w:r>
      <w:r>
        <w:rPr>
          <w:rFonts w:ascii="Calibri" w:hAnsi="Calibri"/>
          <w:b/>
          <w:color w:val="5E5E5E"/>
          <w:sz w:val="17"/>
        </w:rPr>
        <w:t xml:space="preserve">   ·   MINUTE 80 BIS 90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Dein Satz mit Fragezeichen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„Schreib deine vorläufige Fragestellung in einem Satz unten auf das Trichterblatt und gib es ab.“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Prüffrage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Wenn nicht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Endet sie mit einem Fragezeichen?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ist es ein Thema und keine Frage.</w:t>
            </w:r>
          </w:p>
        </w:tc>
      </w:tr>
      <w:tr>
        <w:trPr>
          <w:cantSplit/>
        </w:trPr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Kann eine Rechnung sie beantworten?</w:t>
            </w:r>
          </w:p>
        </w:tc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ist es ein Referat.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Kannst du sie in einem Satz erklären?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ist sie zu groß.</w:t>
            </w:r>
          </w:p>
        </w:tc>
      </w:tr>
      <w:tr>
        <w:trPr>
          <w:cantSplit/>
        </w:trPr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Weißt du, woher deine Zahlen kommen?</w:t>
            </w:r>
          </w:p>
        </w:tc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ist das deine Hausaufgabe bis zum nächsten Mal.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Trichterblätter wirklich einsammeln. Sie sind die Grundlage für die Vorbereitung von Doppelstunde 6: bis dahin sichten und die drei bis fünf Fälle markieren, die eine Sonderrunde brauchen.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17</w:t>
      </w:r>
      <w:r>
        <w:rPr>
          <w:rFonts w:ascii="Calibri" w:hAnsi="Calibri"/>
          <w:b/>
          <w:color w:val="5E5E5E"/>
          <w:sz w:val="17"/>
        </w:rPr>
        <w:t xml:space="preserve">   ·   EINORDNUNG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„vorläufig“ bedeutet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Vorläufig heißt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Vorläufig heißt nicht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darfst sie noch ändern. Bis zur Themenanmeldung in Doppelstunde 6 kostet ein Wechsel nichts.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Danach kostet er eine Beratung und einen neuen Untersuchungsplan.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dass du bis Doppelstunde 6 nichts tust. Wer in der Zwischenzeit schon einmal Daten erhebt, merkt früh, ob die Frage trägt.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beste Prüfung einer Frage ist der erste Versuch, sie zu beantworten.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halten. Diese Folie beugt der Vorstellung vor, zwischen DS 4 und DS 6 sei Pause.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18</w:t>
      </w:r>
      <w:r>
        <w:rPr>
          <w:rFonts w:ascii="Calibri" w:hAnsi="Calibri"/>
          <w:b/>
          <w:color w:val="5E5E5E"/>
          <w:sz w:val="17"/>
        </w:rPr>
        <w:t xml:space="preserve">   ·   SO GEHT ES WEITER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nächsten Doppelstunden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5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Bewerten lernen I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Ihr seid die Prüfkommission: Eine vollständige Musterarbeit, alle fünf Kriterien, jedes Urteil mit einer Belegstelle.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6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Festlegung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schwache gegen eine starke Arbeit – und am Ende gibst du dein Formular A ab, abgezeichnet.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Bis zum nächsten Mal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Finde heraus, woher deine Zahlen kommen sollen. Wer Messwerte braucht: Fang an zu messen – eine Reihe dauert länger, als man denkt.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Auftrag ist ernst gemeint: Die Datenerhebung ist in der Erkundungsarbeit der häufigste Grund für Verzug.</w:t>
            </w:r>
          </w:p>
        </w:tc>
      </w:tr>
    </w:tbl>
    <w:p>
      <w:pPr>
        <w:spacing w:after="120" w:line="288" w:lineRule="auto"/>
      </w:pP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8" w:space="4" w:color="CFCFCF"/>
      </w:pBdr>
      <w:tabs>
        <w:tab w:val="clear" w:pos="4513"/>
        <w:tab w:val="clear" w:pos="4536"/>
        <w:tab w:val="clear" w:pos="9026"/>
        <w:tab w:val="clear" w:pos="9072"/>
        <w:tab w:val="right" w:pos="9026"/>
      </w:tabs>
      <w:spacing w:before="60"/>
    </w:pPr>
    <w:r/>
    <w:r>
      <w:rPr>
        <w:rFonts w:ascii="Calibri" w:hAnsi="Calibri"/>
        <w:color w:val="9A9A9A"/>
        <w:sz w:val="16"/>
      </w:rPr>
      <w:t>© 2026 Dirk Kehm</w:t>
    </w:r>
    <w:r>
      <w:rPr>
        <w:rFonts w:ascii="Calibri" w:hAnsi="Calibri"/>
        <w:color w:val="9A9A9A"/>
        <w:sz w:val="16"/>
      </w:rPr>
      <w:tab/>
      <w:t xml:space="preserve">Präsentation als Lesefassung  ·  </w:t>
    </w:r>
    <w:r>
      <w:rPr>
        <w:rFonts w:ascii="Calibri" w:hAnsi="Calibri"/>
        <w:b/>
        <w:color w:val="0F3D2A"/>
        <w:sz w:val="16"/>
      </w:rPr>
      <w:fldChar w:fldCharType="begin"/>
    </w:r>
    <w:r>
      <w:rPr>
        <w:rFonts w:ascii="Calibri" w:hAnsi="Calibri"/>
        <w:b/>
        <w:color w:val="0F3D2A"/>
        <w:sz w:val="16"/>
      </w:rPr>
      <w:instrText xml:space="preserve">PAGE</w:instrText>
    </w:r>
    <w:r>
      <w:rPr>
        <w:rFonts w:ascii="Calibri" w:hAnsi="Calibri"/>
        <w:b/>
        <w:color w:val="0F3D2A"/>
        <w:sz w:val="16"/>
      </w:rPr>
      <w:fldChar w:fldCharType="separate"/>
    </w:r>
    <w:r>
      <w:rPr>
        <w:rFonts w:ascii="Calibri" w:hAnsi="Calibri"/>
        <w:b/>
        <w:color w:val="0F3D2A"/>
        <w:sz w:val="16"/>
      </w:rPr>
      <w:t>1</w:t>
    </w:r>
    <w:r>
      <w:rPr>
        <w:rFonts w:ascii="Calibri" w:hAnsi="Calibri"/>
        <w:b/>
        <w:color w:val="0F3D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8" w:space="2" w:color="8FB840"/>
      </w:pBdr>
      <w:tabs>
        <w:tab w:val="clear" w:pos="4513"/>
        <w:tab w:val="clear" w:pos="4536"/>
        <w:tab w:val="clear" w:pos="9026"/>
        <w:tab w:val="clear" w:pos="9072"/>
        <w:tab w:val="right" w:pos="9026"/>
      </w:tabs>
    </w:pPr>
    <w:r/>
    <w:r>
      <w:rPr>
        <w:rFonts w:ascii="Calibri" w:hAnsi="Calibri"/>
        <w:b/>
        <w:color w:val="0F3D2A"/>
        <w:spacing w:val="30"/>
        <w:sz w:val="16"/>
      </w:rPr>
      <w:t>DIE ERKUNDUNGSARBEIT  ·  DOPPELSTUNDE 4</w:t>
    </w:r>
    <w:r>
      <w:rPr>
        <w:rFonts w:ascii="Calibri" w:hAnsi="Calibri"/>
        <w:color w:val="808080"/>
        <w:sz w:val="16"/>
      </w:rPr>
      <w:tab/>
      <w:t>Präsentation als Lesefassung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mbria" w:hAnsi="Cambria" w:eastAsia="Cambria" w:cs="Cambria"/>
      <w:color w:val="1C1C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PTeil">
    <w:name w:val="KP Teil"/>
    <w:basedOn w:val="Normal"/>
    <w:pPr>
      <w:keepNext/>
      <w:spacing w:before="0" w:after="280" w:line="288" w:lineRule="auto"/>
      <w:outlineLvl w:val="0"/>
      <w:pBdr>
        <w:bottom w:val="single" w:sz="18" w:space="6" w:color="8FB840"/>
      </w:pBdr>
    </w:pPr>
    <w:rPr>
      <w:rFonts w:ascii="Calibri" w:hAnsi="Calibri" w:eastAsia="Calibri" w:cs="Calibri"/>
      <w:b/>
      <w:i w:val="0"/>
      <w:color w:val="0F3D2A"/>
      <w:sz w:val="44"/>
    </w:rPr>
  </w:style>
  <w:style w:type="paragraph" w:customStyle="1" w:styleId="KPKapitel">
    <w:name w:val="KP Kapitel"/>
    <w:basedOn w:val="Normal"/>
    <w:pPr>
      <w:keepNext/>
      <w:spacing w:before="280" w:after="200" w:line="288" w:lineRule="auto"/>
      <w:outlineLvl w:val="1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32"/>
    </w:rPr>
  </w:style>
  <w:style w:type="paragraph" w:customStyle="1" w:styleId="KPAbschnitt">
    <w:name w:val="KP Abschnitt"/>
    <w:basedOn w:val="Normal"/>
    <w:pPr>
      <w:keepNext/>
      <w:spacing w:before="200" w:after="120" w:line="288" w:lineRule="auto"/>
      <w:outlineLvl w:val="2"/>
      <w:pBdr>
        <w:bottom w:val="single" w:sz="6" w:space="4" w:color="DCE8C2"/>
      </w:pBdr>
    </w:pPr>
    <w:rPr>
      <w:rFonts w:ascii="Calibri" w:hAnsi="Calibri" w:eastAsia="Calibri" w:cs="Calibri"/>
      <w:b/>
      <w:i w:val="0"/>
      <w:color w:val="0F3D2A"/>
      <w:sz w:val="24"/>
    </w:rPr>
  </w:style>
  <w:style w:type="paragraph" w:customStyle="1" w:styleId="KPUnterpunkt">
    <w:name w:val="KP Unterpunkt"/>
    <w:basedOn w:val="Normal"/>
    <w:pPr>
      <w:keepNext/>
      <w:spacing w:before="160" w:after="80" w:line="288" w:lineRule="auto"/>
      <w:outlineLvl w:val="3"/>
    </w:pPr>
    <w:rPr>
      <w:rFonts w:ascii="Calibri" w:hAnsi="Calibri" w:eastAsia="Calibri" w:cs="Calibri"/>
      <w:b/>
      <w:i w:val="0"/>
      <w:color w:val="0F3D2A"/>
      <w:sz w:val="21"/>
    </w:rPr>
  </w:style>
  <w:style w:type="paragraph" w:customStyle="1" w:styleId="KPBlocktitel">
    <w:name w:val="KP Blocktitel"/>
    <w:basedOn w:val="Normal"/>
    <w:pPr>
      <w:keepNext/>
      <w:spacing w:before="240" w:after="160" w:line="288" w:lineRule="auto"/>
      <w:outlineLvl w:val="2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28"/>
    </w:rPr>
  </w:style>
  <w:style w:type="paragraph" w:customStyle="1" w:styleId="KPFeldname">
    <w:name w:val="KP Feldname"/>
    <w:basedOn w:val="Normal"/>
    <w:pPr>
      <w:keepNext/>
      <w:spacing w:before="120" w:after="40" w:line="288" w:lineRule="auto"/>
    </w:pPr>
    <w:rPr>
      <w:rFonts w:ascii="Calibri" w:hAnsi="Calibri" w:eastAsia="Calibri" w:cs="Calibri"/>
      <w:b/>
      <w:i w:val="0"/>
      <w:color w:val="0F3D2A"/>
      <w:sz w:val="19"/>
    </w:rPr>
  </w:style>
  <w:style w:type="paragraph" w:customStyle="1" w:styleId="KPFließtext">
    <w:name w:val="KP Fließtext"/>
    <w:basedOn w:val="Normal"/>
    <w:pPr>
      <w:keepNext w:val="0"/>
      <w:spacing w:before="0" w:after="120" w:line="288" w:lineRule="auto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Klein">
    <w:name w:val="KP Klein"/>
    <w:basedOn w:val="Normal"/>
    <w:pPr>
      <w:keepNext w:val="0"/>
      <w:spacing w:before="0" w:after="80" w:line="288" w:lineRule="auto"/>
    </w:pPr>
    <w:rPr>
      <w:rFonts w:ascii="Calibri" w:hAnsi="Calibri" w:eastAsia="Calibri" w:cs="Calibri"/>
      <w:b w:val="0"/>
      <w:i w:val="0"/>
      <w:color w:val="5E5E5E"/>
      <w:sz w:val="18"/>
    </w:rPr>
  </w:style>
  <w:style w:type="paragraph" w:customStyle="1" w:styleId="KPKasten">
    <w:name w:val="KP Kasten"/>
    <w:basedOn w:val="Normal"/>
    <w:pPr>
      <w:keepNext w:val="0"/>
      <w:spacing w:before="0" w:after="80" w:line="288" w:lineRule="auto"/>
    </w:pPr>
    <w:rPr>
      <w:rFonts w:ascii="Cambria" w:hAnsi="Cambria" w:eastAsia="Cambria" w:cs="Cambria"/>
      <w:b w:val="0"/>
      <w:i w:val="0"/>
      <w:color w:val="1C1C1C"/>
      <w:sz w:val="20"/>
    </w:rPr>
  </w:style>
  <w:style w:type="paragraph" w:customStyle="1" w:styleId="KPListe">
    <w:name w:val="KP Liste"/>
    <w:basedOn w:val="Normal"/>
    <w:pPr>
      <w:keepNext w:val="0"/>
      <w:spacing w:before="0" w:after="60" w:line="288" w:lineRule="auto"/>
      <w:ind w:left="397" w:hanging="397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Listekompakt">
    <w:name w:val="KP Liste kompakt"/>
    <w:basedOn w:val="Normal"/>
    <w:pPr>
      <w:keepNext w:val="0"/>
      <w:spacing w:before="0" w:after="20" w:line="264" w:lineRule="auto"/>
      <w:ind w:left="340" w:hanging="340"/>
    </w:pPr>
    <w:rPr>
      <w:rFonts w:ascii="Cambria" w:hAnsi="Cambria" w:eastAsia="Cambria" w:cs="Cambria"/>
      <w:b w:val="0"/>
      <w:i w:val="0"/>
      <w:color w:val="1C1C1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Kehm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