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900" w:line="288" w:lineRule="auto"/>
      </w:pPr>
    </w:p>
    <w:p>
      <w:pPr>
        <w:spacing w:after="60" w:line="288" w:lineRule="auto"/>
      </w:pPr>
      <w:r>
        <w:rPr>
          <w:rFonts w:ascii="Calibri" w:hAnsi="Calibri"/>
          <w:b/>
          <w:color w:val="0F3D2A"/>
          <w:sz w:val="56"/>
        </w:rPr>
        <w:t xml:space="preserve">Dein Thema steht</w:t>
      </w:r>
    </w:p>
    <w:p>
      <w:pPr>
        <w:spacing w:after="200" w:line="288" w:lineRule="auto"/>
        <w:pBdr>
          <w:bottom w:val="single" w:sz="6" w:space="4" w:color="8FB840"/>
        </w:pBdr>
      </w:pPr>
      <w:r>
        <w:rPr>
          <w:rFonts w:ascii="Calibri" w:hAnsi="Calibri"/>
          <w:b/>
          <w:color w:val="8FB840"/>
          <w:sz w:val="40"/>
        </w:rPr>
        <w:t xml:space="preserve">Doppelstunde 6</w:t>
      </w:r>
    </w:p>
    <w:p>
      <w:pPr>
        <w:spacing w:after="140" w:line="288" w:lineRule="auto"/>
      </w:pPr>
      <w:r>
        <w:rPr>
          <w:rFonts w:ascii="Cambria" w:hAnsi="Cambria"/>
          <w:color w:val="1C1C1C"/>
          <w:sz w:val="28"/>
        </w:rPr>
        <w:t xml:space="preserve">Die Präsentation als Lesefassung</w:t>
      </w:r>
    </w:p>
    <w:p>
      <w:pPr>
        <w:spacing w:after="500" w:line="288" w:lineRule="auto"/>
      </w:pPr>
      <w:r>
        <w:rPr>
          <w:rFonts w:ascii="Cambria" w:hAnsi="Cambria"/>
          <w:color w:val="5E5E5E"/>
          <w:sz w:val="22"/>
        </w:rPr>
        <w:t xml:space="preserve">Alle 19 Folien im Wortlaut, mit dem Gruppenpuzzle, den Einteilungen und den Notizen für dich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1F4EC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0F3D2A"/>
                <w:sz w:val="22"/>
              </w:rPr>
              <w:t xml:space="preserve">Wozu diese Fassung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Dieselben Inhalte wie die Datei „IA_DS6_Praesentation.pptx“, nur zum Lesen, Ausdrucken und Ändern. Am Pult brauchst du diese Seiten, an der Wand die Folien.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Der Engpass ist das Abzeichnen ab Minute 52. Die Termine auf M 14 vorher festlegen und eintragen, sonst werden sie nicht eingehalten.</w:t>
            </w:r>
          </w:p>
        </w:tc>
      </w:tr>
    </w:tbl>
    <w:p>
      <w:pPr>
        <w:spacing w:after="120" w:line="288" w:lineRule="auto"/>
      </w:pPr>
    </w:p>
    <w:p>
      <w:pPr>
        <w:spacing w:after="400" w:line="288" w:lineRule="auto"/>
      </w:pPr>
    </w:p>
    <w:p>
      <w:pPr>
        <w:pStyle w:val="KPKlein"/>
        <w:spacing w:line="288" w:lineRule="auto"/>
      </w:pPr>
      <w:r>
        <w:rPr>
          <w:rFonts w:ascii="Calibri" w:hAnsi="Calibri"/>
          <w:color w:val="5E5E5E"/>
          <w:sz w:val="18"/>
        </w:rPr>
        <w:t xml:space="preserve">Dirk Kehm  ·  IGS Ho-Chi-Minh-Stadt  ·  Stand: 3. Oktober 2026</w:t>
      </w:r>
    </w:p>
    <w:p>
      <w:r>
        <w:br w:type="page"/>
      </w: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</w:t>
      </w:r>
      <w:r>
        <w:rPr>
          <w:rFonts w:ascii="Calibri" w:hAnsi="Calibri"/>
          <w:b/>
          <w:color w:val="5E5E5E"/>
          <w:sz w:val="17"/>
        </w:rPr>
        <w:t xml:space="preserve">   ·   TITELFOLIE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Dein Thema steht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2600"/>
        <w:gridCol w:w="6426"/>
      </w:tblGrid>
      <w:tr>
        <w:trPr>
          <w:cantSplit/>
        </w:trPr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Oberzeile</w:t>
            </w:r>
          </w:p>
        </w:tc>
        <w:tc>
          <w:tcPr>
            <w:tcW w:w="6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Jahr 1  ·  Doppelstunde 6 von 6  ·  Internal Assessment</w:t>
            </w:r>
          </w:p>
        </w:tc>
      </w:tr>
      <w:tr>
        <w:trPr>
          <w:cantSplit/>
        </w:trPr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Untertitel</w:t>
            </w:r>
          </w:p>
        </w:tc>
        <w:tc>
          <w:tcPr>
            <w:tcW w:w="6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Woran der Unterschied zwischen 7 und 18 Punkten hängt – und am Ende gibst du deine Anmeldung ab</w:t>
            </w:r>
          </w:p>
        </w:tc>
      </w:tr>
      <w:tr>
        <w:trPr>
          <w:cantSplit/>
        </w:trPr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Fußzeile</w:t>
            </w:r>
          </w:p>
        </w:tc>
        <w:tc>
          <w:tcPr>
            <w:tcW w:w="6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90 Minuten  ·  Gruppenpuzzle und Einzelarbeit  ·  Material M 4, M 11, M 12, M 13, M 14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 dichteste Stunde des Workshops. Der Engpass ist das Abzeichnen ab Minute 52 – wer früh fertig ist, kommt zuerst. Trichterblätter aus Doppelstunde 4 mitbringen und austeilen.</w:t>
            </w:r>
          </w:p>
        </w:tc>
      </w:tr>
    </w:tbl>
    <w:p>
      <w:pPr>
        <w:spacing w:after="120" w:line="288" w:lineRule="auto"/>
      </w:pP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2</w:t>
      </w:r>
      <w:r>
        <w:rPr>
          <w:rFonts w:ascii="Calibri" w:hAnsi="Calibri"/>
          <w:b/>
          <w:color w:val="5E5E5E"/>
          <w:sz w:val="17"/>
        </w:rPr>
        <w:t xml:space="preserve">   ·   FAHRPLAN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Was heute passiert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1400"/>
        <w:gridCol w:w="5326"/>
        <w:gridCol w:w="2300"/>
      </w:tblGrid>
      <w:tr>
        <w:trPr>
          <w:tblHeader w:val="true"/>
          <w:cantSplit/>
        </w:trPr>
        <w:tc>
          <w:tcPr>
            <w:tcW w:w="14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Minute</w:t>
            </w:r>
          </w:p>
        </w:tc>
        <w:tc>
          <w:tcPr>
            <w:tcW w:w="5326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Was</w:t>
            </w:r>
          </w:p>
        </w:tc>
        <w:tc>
          <w:tcPr>
            <w:tcW w:w="23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Sozialform</w:t>
            </w:r>
          </w:p>
        </w:tc>
      </w:tr>
      <w:tr>
        <w:trPr>
          <w:cantSplit/>
        </w:trPr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00–06</w:t>
            </w:r>
          </w:p>
        </w:tc>
        <w:tc>
          <w:tcPr>
            <w:tcW w:w="53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Zwei Arbeiten liegen aus</w:t>
            </w:r>
          </w:p>
        </w:tc>
        <w:tc>
          <w:tcPr>
            <w:tcW w:w="2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Auftakt</w:t>
            </w:r>
          </w:p>
        </w:tc>
      </w:tr>
      <w:tr>
        <w:trPr>
          <w:cantSplit/>
        </w:trPr>
        <w:tc>
          <w:tcPr>
            <w:tcW w:w="14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06–24</w:t>
            </w:r>
          </w:p>
        </w:tc>
        <w:tc>
          <w:tcPr>
            <w:tcW w:w="53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Expertengruppen – ein Kriterium</w:t>
            </w:r>
          </w:p>
        </w:tc>
        <w:tc>
          <w:tcPr>
            <w:tcW w:w="23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Gruppenarbeit</w:t>
            </w:r>
          </w:p>
        </w:tc>
      </w:tr>
      <w:tr>
        <w:trPr>
          <w:cantSplit/>
        </w:trPr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24–40</w:t>
            </w:r>
          </w:p>
        </w:tc>
        <w:tc>
          <w:tcPr>
            <w:tcW w:w="53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Mischgruppen – alle fünf</w:t>
            </w:r>
          </w:p>
        </w:tc>
        <w:tc>
          <w:tcPr>
            <w:tcW w:w="2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Gruppenarbeit</w:t>
            </w:r>
          </w:p>
        </w:tc>
      </w:tr>
      <w:tr>
        <w:trPr>
          <w:cantSplit/>
        </w:trPr>
        <w:tc>
          <w:tcPr>
            <w:tcW w:w="14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40–52</w:t>
            </w:r>
          </w:p>
        </w:tc>
        <w:tc>
          <w:tcPr>
            <w:tcW w:w="53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Anspruch und Stringenz an Muster C</w:t>
            </w:r>
          </w:p>
        </w:tc>
        <w:tc>
          <w:tcPr>
            <w:tcW w:w="23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Plenum</w:t>
            </w:r>
          </w:p>
        </w:tc>
      </w:tr>
      <w:tr>
        <w:trPr>
          <w:cantSplit/>
        </w:trPr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52–78</w:t>
            </w:r>
          </w:p>
        </w:tc>
        <w:tc>
          <w:tcPr>
            <w:tcW w:w="53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Formular A ausfüllen und abzeichnen</w:t>
            </w:r>
          </w:p>
        </w:tc>
        <w:tc>
          <w:tcPr>
            <w:tcW w:w="2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Einzelarbeit</w:t>
            </w:r>
          </w:p>
        </w:tc>
      </w:tr>
      <w:tr>
        <w:trPr>
          <w:cantSplit/>
        </w:trPr>
        <w:tc>
          <w:tcPr>
            <w:tcW w:w="14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78–90</w:t>
            </w:r>
          </w:p>
        </w:tc>
        <w:tc>
          <w:tcPr>
            <w:tcW w:w="53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Zeitschiene und Spielregeln</w:t>
            </w:r>
          </w:p>
        </w:tc>
        <w:tc>
          <w:tcPr>
            <w:tcW w:w="23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Plenum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 Zeiten laut ansagen und einhalten. Wenn der erste Block überzieht, fehlt die Zeit beim Abzeichnen – und das ist der Teil, der nicht ausfallen darf.</w:t>
            </w:r>
          </w:p>
        </w:tc>
      </w:tr>
    </w:tbl>
    <w:p>
      <w:pPr>
        <w:spacing w:after="120" w:line="288" w:lineRule="auto"/>
      </w:pPr>
    </w:p>
    <w:p>
      <w:r>
        <w:br w:type="page"/>
      </w: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3</w:t>
      </w:r>
      <w:r>
        <w:rPr>
          <w:rFonts w:ascii="Calibri" w:hAnsi="Calibri"/>
          <w:b/>
          <w:color w:val="5E5E5E"/>
          <w:sz w:val="17"/>
        </w:rPr>
        <w:t xml:space="preserve">   ·   AUFTAKT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Zwei Arbeiten, elf Punkte Unterschied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4513"/>
        <w:gridCol w:w="4513"/>
      </w:tblGrid>
      <w:tr>
        <w:trPr>
          <w:tblHeader w:val="true"/>
          <w:cantSplit/>
        </w:trPr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Muster A  ·  Der Goldene Schnitt</w:t>
            </w:r>
          </w:p>
        </w:tc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Muster C  ·  Der schnellste Weg zum Bus</w:t>
            </w:r>
          </w:p>
        </w:tc>
      </w:tr>
      <w:tr>
        <w:trPr>
          <w:cantSplit/>
        </w:trPr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7 von 20 Punkten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18 von 20 Punkten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Die Frage ist nicht, welche besser ist. Die Frage ist, woran genau der Unterschied hängt.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Beide Arbeiten liegen schon auf den Tischen. Punktzahlen offen nennen – das Rätselraten darüber kostet nur Zeit.</w:t>
            </w:r>
          </w:p>
        </w:tc>
      </w:tr>
    </w:tbl>
    <w:p>
      <w:pPr>
        <w:spacing w:after="120" w:line="288" w:lineRule="auto"/>
      </w:pP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4</w:t>
      </w:r>
      <w:r>
        <w:rPr>
          <w:rFonts w:ascii="Calibri" w:hAnsi="Calibri"/>
          <w:b/>
          <w:color w:val="5E5E5E"/>
          <w:sz w:val="17"/>
        </w:rPr>
        <w:t xml:space="preserve">   ·   ARBEITSAUFTRAG 1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Expertengruppen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E7EFD8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„Lest beide Arbeiten nur unter eurem Kriterium. Ihr sucht nicht, was schlecht ist – sondern was die starke Arbeit tut und die schwache nicht.“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2400"/>
        <w:gridCol w:w="6626"/>
      </w:tblGrid>
      <w:tr>
        <w:trPr>
          <w:cantSplit/>
        </w:trPr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Zwei Belegstellen</w:t>
            </w:r>
          </w:p>
        </w:tc>
        <w:tc>
          <w:tcPr>
            <w:tcW w:w="66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je Arbeit, mit Seitenzahl. Vier Stellen insgesamt.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Ein Satz</w:t>
            </w:r>
          </w:p>
        </w:tc>
        <w:tc>
          <w:tcPr>
            <w:tcW w:w="66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Was macht Muster C, was Muster A nicht macht?</w:t>
            </w:r>
          </w:p>
        </w:tc>
      </w:tr>
      <w:tr>
        <w:trPr>
          <w:cantSplit/>
        </w:trPr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Keine Punktzahl</w:t>
            </w:r>
          </w:p>
        </w:tc>
        <w:tc>
          <w:tcPr>
            <w:tcW w:w="66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Ihr vergebt heute keine Ebenen. Ihr sucht den Unterschied.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Ihr seid Experten</w:t>
            </w:r>
          </w:p>
        </w:tc>
        <w:tc>
          <w:tcPr>
            <w:tcW w:w="66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In der nächsten Runde seid ihr die Einzigen am Tisch, die euer Kriterium kennen.</w:t>
            </w:r>
          </w:p>
        </w:tc>
      </w:tr>
    </w:tbl>
    <w:p>
      <w:pPr>
        <w:spacing w:after="120" w:line="288" w:lineRule="auto"/>
      </w:pPr>
    </w:p>
    <w:p>
      <w:pPr>
        <w:pStyle w:val="KPFließtext"/>
        <w:spacing w:line="288" w:lineRule="auto"/>
      </w:pPr>
      <w:r>
        <w:rPr>
          <w:rFonts w:ascii="Cambria" w:hAnsi="Cambria"/>
          <w:color w:val="1C1C1C"/>
          <w:sz w:val="22"/>
        </w:rPr>
        <w:t xml:space="preserve">18 Minuten. M 11 liegt bereit, falls ihr die Deskriptoren noch einmal braucht.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Muster A und Muster C je fünffach kopieren – eine Kopie je Expertengruppe. Gruppe E bekommt drei Personen, weil E sechs Punkte wiegt und für beide Kurse verschieden formuliert ist.</w:t>
            </w:r>
          </w:p>
        </w:tc>
      </w:tr>
    </w:tbl>
    <w:p>
      <w:pPr>
        <w:spacing w:after="120" w:line="288" w:lineRule="auto"/>
      </w:pPr>
    </w:p>
    <w:p>
      <w:r>
        <w:br w:type="page"/>
      </w: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5</w:t>
      </w:r>
      <w:r>
        <w:rPr>
          <w:rFonts w:ascii="Calibri" w:hAnsi="Calibri"/>
          <w:b/>
          <w:color w:val="5E5E5E"/>
          <w:sz w:val="17"/>
        </w:rPr>
        <w:t xml:space="preserve">   ·   EINTEILUNG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Die fünf Expertengruppen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1805"/>
        <w:gridCol w:w="1805"/>
        <w:gridCol w:w="1805"/>
        <w:gridCol w:w="1805"/>
        <w:gridCol w:w="1806"/>
      </w:tblGrid>
      <w:tr>
        <w:trPr>
          <w:tblHeader w:val="true"/>
          <w:cantSplit/>
        </w:trPr>
        <w:tc>
          <w:tcPr>
            <w:tcW w:w="1805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A – Präsentation</w:t>
            </w:r>
          </w:p>
        </w:tc>
        <w:tc>
          <w:tcPr>
            <w:tcW w:w="1805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B – Kommunikation</w:t>
            </w:r>
          </w:p>
        </w:tc>
        <w:tc>
          <w:tcPr>
            <w:tcW w:w="1805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C – Einsatz</w:t>
            </w:r>
          </w:p>
        </w:tc>
        <w:tc>
          <w:tcPr>
            <w:tcW w:w="1805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D – Reflexion</w:t>
            </w:r>
          </w:p>
        </w:tc>
        <w:tc>
          <w:tcPr>
            <w:tcW w:w="1806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E – Mathematik</w:t>
            </w:r>
          </w:p>
        </w:tc>
      </w:tr>
      <w:tr>
        <w:trPr>
          <w:cantSplit/>
        </w:trPr>
        <w:tc>
          <w:tcPr>
            <w:tcW w:w="180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Name 1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Name 10</w:t>
            </w:r>
          </w:p>
        </w:tc>
        <w:tc>
          <w:tcPr>
            <w:tcW w:w="180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Name 4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Name 11</w:t>
            </w:r>
          </w:p>
        </w:tc>
        <w:tc>
          <w:tcPr>
            <w:tcW w:w="180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Name 5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Name 9</w:t>
            </w:r>
          </w:p>
        </w:tc>
        <w:tc>
          <w:tcPr>
            <w:tcW w:w="1805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Name 7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Name 6</w:t>
            </w:r>
          </w:p>
        </w:tc>
        <w:tc>
          <w:tcPr>
            <w:tcW w:w="180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Name 2</w:t>
            </w:r>
          </w:p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Name 3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Name 8</w:t>
            </w:r>
          </w:p>
        </w:tc>
      </w:tr>
    </w:tbl>
    <w:p>
      <w:pPr>
        <w:spacing w:after="120" w:line="288" w:lineRule="auto"/>
      </w:pPr>
    </w:p>
    <w:p>
      <w:pPr>
        <w:pStyle w:val="KPFließtext"/>
        <w:spacing w:line="288" w:lineRule="auto"/>
      </w:pPr>
      <w:r>
        <w:rPr>
          <w:rFonts w:ascii="Cambria" w:hAnsi="Cambria"/>
          <w:color w:val="1C1C1C"/>
          <w:sz w:val="22"/>
        </w:rPr>
        <w:t xml:space="preserve">Fünf Gruppen, fünf Kriterien. Gruppe E ist zu dritt – Kriterium E wiegt sechs Punkte und ist für Standard Level und Higher Level verschieden formuliert.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Merkt euch eure Nummer: In der nächsten Runde geht aus jeder Gruppe eine Person an jeden Tisch.</w:t>
            </w:r>
          </w:p>
        </w:tc>
      </w:tr>
    </w:tbl>
    <w:p>
      <w:pPr>
        <w:spacing w:after="120" w:line="288" w:lineRule="auto"/>
      </w:pP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6</w:t>
      </w:r>
      <w:r>
        <w:rPr>
          <w:rFonts w:ascii="Calibri" w:hAnsi="Calibri"/>
          <w:b/>
          <w:color w:val="5E5E5E"/>
          <w:sz w:val="17"/>
        </w:rPr>
        <w:t xml:space="preserve">   ·   ARBEITSAUFTRAG 2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Mischgruppen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E7EFD8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„Neue Tische. In jedem sitzt eine Person aus jeder Expertengruppe. Jede berichtet zwei Minuten – dann baut ihr gemeinsam eine Liste.“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1800"/>
        <w:gridCol w:w="7226"/>
      </w:tblGrid>
      <w:tr>
        <w:trPr>
          <w:cantSplit/>
        </w:trPr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10 Minuten</w:t>
            </w:r>
          </w:p>
        </w:tc>
        <w:tc>
          <w:tcPr>
            <w:tcW w:w="72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Reihum berichten: A, B, C, D, E. Zwei Minuten je Person, die anderen schreiben mit.</w:t>
            </w:r>
          </w:p>
        </w:tc>
      </w:tr>
      <w:tr>
        <w:trPr>
          <w:cantSplit/>
        </w:trPr>
        <w:tc>
          <w:tcPr>
            <w:tcW w:w="18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6 Minuten</w:t>
            </w:r>
          </w:p>
        </w:tc>
        <w:tc>
          <w:tcPr>
            <w:tcW w:w="72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 Liste: Welche fünf Unterschiede machen am meisten Punkte aus?</w:t>
            </w:r>
          </w:p>
        </w:tc>
      </w:tr>
      <w:tr>
        <w:trPr>
          <w:cantSplit/>
        </w:trPr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Regel</w:t>
            </w:r>
          </w:p>
        </w:tc>
        <w:tc>
          <w:tcPr>
            <w:tcW w:w="72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Jeder Eintrag muss von mindestens zwei Kriterien gestützt sein – sonst ist er ein Detail.</w:t>
            </w:r>
          </w:p>
        </w:tc>
      </w:tr>
    </w:tbl>
    <w:p>
      <w:pPr>
        <w:spacing w:after="120" w:line="288" w:lineRule="auto"/>
      </w:pPr>
    </w:p>
    <w:p>
      <w:pPr>
        <w:pStyle w:val="KPFließtext"/>
        <w:spacing w:line="288" w:lineRule="auto"/>
      </w:pPr>
      <w:r>
        <w:rPr>
          <w:rFonts w:ascii="Cambria" w:hAnsi="Cambria"/>
          <w:color w:val="1C1C1C"/>
          <w:sz w:val="22"/>
        </w:rPr>
        <w:t xml:space="preserve">16 Minuten. Die Liste bleibt auf dem Tisch – wir sammeln sie gleich im Plenum ein.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Der Tischwechsel kostet zwei Minuten. Die Einteilung vorher an die Tafel oder auf die Tische legen.</w:t>
            </w:r>
          </w:p>
        </w:tc>
      </w:tr>
    </w:tbl>
    <w:p>
      <w:pPr>
        <w:spacing w:after="120" w:line="288" w:lineRule="auto"/>
      </w:pPr>
    </w:p>
    <w:p>
      <w:r>
        <w:br w:type="page"/>
      </w: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7</w:t>
      </w:r>
      <w:r>
        <w:rPr>
          <w:rFonts w:ascii="Calibri" w:hAnsi="Calibri"/>
          <w:b/>
          <w:color w:val="5E5E5E"/>
          <w:sz w:val="17"/>
        </w:rPr>
        <w:t xml:space="preserve">   ·   EINTEILUNG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Die zwei Mischgruppen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4513"/>
        <w:gridCol w:w="4513"/>
      </w:tblGrid>
      <w:tr>
        <w:trPr>
          <w:tblHeader w:val="true"/>
          <w:cantSplit/>
        </w:trPr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Mischgruppe 1</w:t>
            </w:r>
          </w:p>
        </w:tc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Mischgruppe 2</w:t>
            </w:r>
          </w:p>
        </w:tc>
      </w:tr>
      <w:tr>
        <w:trPr>
          <w:cantSplit/>
        </w:trPr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1  (A)</w:t>
            </w:r>
          </w:p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4  (B)</w:t>
            </w:r>
          </w:p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9  (C)</w:t>
            </w:r>
          </w:p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6  (D)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8  (E)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10  (A)</w:t>
            </w:r>
          </w:p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11  (B)</w:t>
            </w:r>
          </w:p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5  (C)</w:t>
            </w:r>
          </w:p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7  (D)</w:t>
            </w:r>
          </w:p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2  (E)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3  (E)</w:t>
            </w:r>
          </w:p>
        </w:tc>
      </w:tr>
    </w:tbl>
    <w:p>
      <w:pPr>
        <w:spacing w:after="120" w:line="288" w:lineRule="auto"/>
      </w:pPr>
    </w:p>
    <w:p>
      <w:pPr>
        <w:pStyle w:val="KPFließtext"/>
        <w:spacing w:line="288" w:lineRule="auto"/>
      </w:pPr>
      <w:r>
        <w:rPr>
          <w:rFonts w:ascii="Cambria" w:hAnsi="Cambria"/>
          <w:color w:val="1C1C1C"/>
          <w:sz w:val="22"/>
        </w:rPr>
        <w:t xml:space="preserve">Mischgruppe 2 ist zu sechst, weil Gruppe E drei Personen hatte. Name 10 und Name 11 sitzen hier zusammen – bei elf Personen und zwei Tischen geht es nicht anders.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 Buchstaben in Klammern sind die Kriterien, über die die Person berichtet. Das laut sagen, sonst fängt die Runde mit Nachfragen an.</w:t>
            </w:r>
          </w:p>
        </w:tc>
      </w:tr>
    </w:tbl>
    <w:p>
      <w:pPr>
        <w:spacing w:after="120" w:line="288" w:lineRule="auto"/>
      </w:pP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8</w:t>
      </w:r>
      <w:r>
        <w:rPr>
          <w:rFonts w:ascii="Calibri" w:hAnsi="Calibri"/>
          <w:b/>
          <w:color w:val="5E5E5E"/>
          <w:sz w:val="17"/>
        </w:rPr>
        <w:t xml:space="preserve">   ·   TAFELBILD 6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Woran der Unterschied hängt</w:t>
      </w:r>
    </w:p>
    <w:p>
      <w:pPr>
        <w:pStyle w:val="KPFließtext"/>
        <w:spacing w:line="288" w:lineRule="auto"/>
      </w:pPr>
      <w:r>
        <w:rPr>
          <w:rFonts w:ascii="Cambria" w:hAnsi="Cambria"/>
          <w:color w:val="1C1C1C"/>
          <w:sz w:val="22"/>
        </w:rPr>
        <w:t xml:space="preserve">Die Liste entsteht in der Stunde. Erfahrungsgemäß landen diese Punkte darauf:</w:t>
      </w:r>
    </w:p>
    <w:p>
      <w:pPr>
        <w:pStyle w:val="KPListe"/>
        <w:spacing w:line="288" w:lineRule="auto"/>
      </w:pPr>
      <w:r>
        <w:rPr>
          <w:rFonts w:ascii="Cambria" w:hAnsi="Cambria"/>
          <w:color w:val="1C1C1C"/>
          <w:sz w:val="22"/>
        </w:rPr>
        <w:t xml:space="preserve">— </w:t>
      </w:r>
      <w:r>
        <w:rPr>
          <w:rFonts w:ascii="Cambria" w:hAnsi="Cambria"/>
          <w:color w:val="1C1C1C"/>
          <w:sz w:val="22"/>
        </w:rPr>
        <w:t xml:space="preserve">Die starke Arbeit hat eine Frage. Die schwache hat ein Thema.</w:t>
      </w:r>
    </w:p>
    <w:p>
      <w:pPr>
        <w:pStyle w:val="KPListe"/>
        <w:spacing w:line="288" w:lineRule="auto"/>
      </w:pPr>
      <w:r>
        <w:rPr>
          <w:rFonts w:ascii="Cambria" w:hAnsi="Cambria"/>
          <w:color w:val="1C1C1C"/>
          <w:sz w:val="22"/>
        </w:rPr>
        <w:t xml:space="preserve">— </w:t>
      </w:r>
      <w:r>
        <w:rPr>
          <w:rFonts w:ascii="Cambria" w:hAnsi="Cambria"/>
          <w:color w:val="1C1C1C"/>
          <w:sz w:val="22"/>
        </w:rPr>
        <w:t xml:space="preserve">Die starke Arbeit rechnet selbst. Die schwache referiert Rechnungen.</w:t>
      </w:r>
    </w:p>
    <w:p>
      <w:pPr>
        <w:pStyle w:val="KPListe"/>
        <w:spacing w:line="288" w:lineRule="auto"/>
      </w:pPr>
      <w:r>
        <w:rPr>
          <w:rFonts w:ascii="Cambria" w:hAnsi="Cambria"/>
          <w:color w:val="1C1C1C"/>
          <w:sz w:val="22"/>
        </w:rPr>
        <w:t xml:space="preserve">— </w:t>
      </w:r>
      <w:r>
        <w:rPr>
          <w:rFonts w:ascii="Cambria" w:hAnsi="Cambria"/>
          <w:color w:val="1C1C1C"/>
          <w:sz w:val="22"/>
        </w:rPr>
        <w:t xml:space="preserve">Die starke Arbeit sagt, wo sie an Grenzen stößt. Die schwache tut, als gäbe es keine.</w:t>
      </w:r>
    </w:p>
    <w:p>
      <w:pPr>
        <w:pStyle w:val="KPListe"/>
        <w:spacing w:line="288" w:lineRule="auto"/>
      </w:pPr>
      <w:r>
        <w:rPr>
          <w:rFonts w:ascii="Cambria" w:hAnsi="Cambria"/>
          <w:color w:val="1C1C1C"/>
          <w:sz w:val="22"/>
        </w:rPr>
        <w:t xml:space="preserve">— </w:t>
      </w:r>
      <w:r>
        <w:rPr>
          <w:rFonts w:ascii="Cambria" w:hAnsi="Cambria"/>
          <w:color w:val="1C1C1C"/>
          <w:sz w:val="22"/>
        </w:rPr>
        <w:t xml:space="preserve">Die starke Arbeit begründet jeden Schritt. Die schwache springt.</w:t>
      </w:r>
    </w:p>
    <w:p>
      <w:pPr>
        <w:pStyle w:val="KPListe"/>
        <w:spacing w:line="288" w:lineRule="auto"/>
      </w:pPr>
      <w:r>
        <w:rPr>
          <w:rFonts w:ascii="Cambria" w:hAnsi="Cambria"/>
          <w:color w:val="1C1C1C"/>
          <w:sz w:val="22"/>
        </w:rPr>
        <w:t xml:space="preserve">— </w:t>
      </w:r>
      <w:r>
        <w:rPr>
          <w:rFonts w:ascii="Cambria" w:hAnsi="Cambria"/>
          <w:color w:val="1C1C1C"/>
          <w:sz w:val="22"/>
        </w:rPr>
        <w:t xml:space="preserve">In der starken Arbeit steht mindestens einmal ein eigener Einfall, den man nirgends nachschlagen kann.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Erst die Listen der Gruppen vorlesen lassen, dann diese Folie als Vergleich. Was die Gruppen zusätzlich gefunden haben, an die Tafel dazuschreiben.</w:t>
            </w:r>
          </w:p>
        </w:tc>
      </w:tr>
    </w:tbl>
    <w:p>
      <w:pPr>
        <w:spacing w:after="120" w:line="288" w:lineRule="auto"/>
      </w:pPr>
    </w:p>
    <w:p>
      <w:r>
        <w:br w:type="page"/>
      </w: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9</w:t>
      </w:r>
      <w:r>
        <w:rPr>
          <w:rFonts w:ascii="Calibri" w:hAnsi="Calibri"/>
          <w:b/>
          <w:color w:val="5E5E5E"/>
          <w:sz w:val="17"/>
        </w:rPr>
        <w:t xml:space="preserve">   ·   NUR HIGHER LEVEL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Anspruch und Stringenz</w:t>
      </w:r>
    </w:p>
    <w:p>
      <w:pPr>
        <w:pStyle w:val="KPFließtext"/>
        <w:spacing w:line="288" w:lineRule="auto"/>
      </w:pPr>
      <w:r>
        <w:rPr>
          <w:rFonts w:ascii="Cambria" w:hAnsi="Cambria"/>
          <w:color w:val="1C1C1C"/>
          <w:sz w:val="22"/>
        </w:rPr>
        <w:t xml:space="preserve">Muster C ist eine Higher-Level-Arbeit. Zwei Wörter stehen nur in dieser Leiter – und erst ab Ebene 5.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4513"/>
        <w:gridCol w:w="4513"/>
      </w:tblGrid>
      <w:tr>
        <w:trPr>
          <w:tblHeader w:val="true"/>
          <w:cantSplit/>
        </w:trPr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Anspruch</w:t>
            </w:r>
          </w:p>
        </w:tc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Stringenz</w:t>
            </w:r>
          </w:p>
        </w:tc>
      </w:tr>
      <w:tr>
        <w:trPr>
          <w:cantSplit/>
        </w:trPr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Mathematik auf dem Niveau des Higher-Level-Lehrplans – oder Standard-Level-Mathematik, komplex eingesetzt.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In Muster C: Die Verbindung zwischen Wegoptimierung und Brechungsgesetz. Zwei Gebiete, eine Struktur.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Klarheit von Logik und Sprache. Relevante Behauptungen werden begründet oder bewiesen.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In Muster C: Jeder Schritt sagt, warum er erlaubt ist – und am Randfall wird geprüft, ob die Lösung überhaupt im zulässigen Bereich liegt.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Schwerer heißt nicht anspruchsvoller. Eine verborgene Struktur zu erkennen schon.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Zwei Stellen in Muster C zeigen – die Seitenzahlen vorher heraussuchen. Ohne konkrete Stelle bleibt es eine Behauptung.</w:t>
            </w:r>
          </w:p>
        </w:tc>
      </w:tr>
    </w:tbl>
    <w:p>
      <w:pPr>
        <w:spacing w:after="120" w:line="288" w:lineRule="auto"/>
      </w:pP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10</w:t>
      </w:r>
      <w:r>
        <w:rPr>
          <w:rFonts w:ascii="Calibri" w:hAnsi="Calibri"/>
          <w:b/>
          <w:color w:val="5E5E5E"/>
          <w:sz w:val="17"/>
        </w:rPr>
        <w:t xml:space="preserve">   ·   FÜR STANDARD LEVEL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Die Entwarnung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4513"/>
        <w:gridCol w:w="4513"/>
      </w:tblGrid>
      <w:tr>
        <w:trPr>
          <w:tblHeader w:val="true"/>
          <w:cantSplit/>
        </w:trPr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Was im Standard Level nicht verlangt ist</w:t>
            </w:r>
          </w:p>
        </w:tc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Was stattdessen zählt</w:t>
            </w:r>
          </w:p>
        </w:tc>
      </w:tr>
      <w:tr>
        <w:trPr>
          <w:cantSplit/>
        </w:trPr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Anspruch und Stringenz stehen nicht in eurer Leiter.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Mathematik über dem Lehrplan ist nirgends verlangt – auch im Higher Level nicht, auch nicht für Ebene 6.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Relevante Mathematik, auf Kursniveau, korrekt – und demonstriertes Verständnis.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Ebene 6 im Standard Level ist mit dem Stoff des Standard Level erreichbar.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E7EFD8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Es ist besser, einige wenige Dinge gut zu machen, als viele Dinge nicht so gut.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Der Satz steht wörtlich im Handbuch. Er ist in Doppelstunde 3 schon einmal gefallen – Wiederholung ist hier richtig.</w:t>
            </w:r>
          </w:p>
        </w:tc>
      </w:tr>
    </w:tbl>
    <w:p>
      <w:pPr>
        <w:spacing w:after="120" w:line="288" w:lineRule="auto"/>
      </w:pPr>
    </w:p>
    <w:p>
      <w:r>
        <w:br w:type="page"/>
      </w: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11</w:t>
      </w:r>
      <w:r>
        <w:rPr>
          <w:rFonts w:ascii="Calibri" w:hAnsi="Calibri"/>
          <w:b/>
          <w:color w:val="5E5E5E"/>
          <w:sz w:val="17"/>
        </w:rPr>
        <w:t xml:space="preserve">   ·   ÜBERGANG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Was du jetzt beisammen hast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Ab jetzt geht es um deine Arbeit.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2600"/>
        <w:gridCol w:w="6426"/>
      </w:tblGrid>
      <w:tr>
        <w:trPr>
          <w:cantSplit/>
        </w:trPr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Aus Doppelstunde 2</w:t>
            </w:r>
          </w:p>
        </w:tc>
        <w:tc>
          <w:tcPr>
            <w:tcW w:w="6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Drei Interessenfelder</w:t>
            </w:r>
          </w:p>
        </w:tc>
      </w:tr>
      <w:tr>
        <w:trPr>
          <w:cantSplit/>
        </w:trPr>
        <w:tc>
          <w:tcPr>
            <w:tcW w:w="26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Aus Doppelstunde 4</w:t>
            </w:r>
          </w:p>
        </w:tc>
        <w:tc>
          <w:tcPr>
            <w:tcW w:w="64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Zwei Trichter und eine vorläufige Frage</w:t>
            </w:r>
          </w:p>
        </w:tc>
      </w:tr>
      <w:tr>
        <w:trPr>
          <w:cantSplit/>
        </w:trPr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Aus Doppelstunde 5</w:t>
            </w:r>
          </w:p>
        </w:tc>
        <w:tc>
          <w:tcPr>
            <w:tcW w:w="6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Drei Sätze, was ihr anders machen wollt</w:t>
            </w:r>
          </w:p>
        </w:tc>
      </w:tr>
      <w:tr>
        <w:trPr>
          <w:cantSplit/>
        </w:trPr>
        <w:tc>
          <w:tcPr>
            <w:tcW w:w="26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Aus heute</w:t>
            </w:r>
          </w:p>
        </w:tc>
        <w:tc>
          <w:tcPr>
            <w:tcW w:w="64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Fünf Unterschiede zwischen einer schwachen und einer starken Arbeit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Hier die Trichterblätter aus Doppelstunde 4 austeilen, falls noch nicht geschehen. Die drei bis fünf markierten Fälle zuerst beraten.</w:t>
            </w:r>
          </w:p>
        </w:tc>
      </w:tr>
    </w:tbl>
    <w:p>
      <w:pPr>
        <w:spacing w:after="120" w:line="288" w:lineRule="auto"/>
      </w:pP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12</w:t>
      </w:r>
      <w:r>
        <w:rPr>
          <w:rFonts w:ascii="Calibri" w:hAnsi="Calibri"/>
          <w:b/>
          <w:color w:val="5E5E5E"/>
          <w:sz w:val="17"/>
        </w:rPr>
        <w:t xml:space="preserve">   ·   ARBEITSAUFTRAG 3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Formular A – die sechs Felder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E7EFD8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„Füllt das Formular A der IB aus – alle sechs Felder. Ich komme herum und zeichne ab.“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2600"/>
        <w:gridCol w:w="6426"/>
      </w:tblGrid>
      <w:tr>
        <w:trPr>
          <w:cantSplit/>
        </w:trPr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1  Interessengebiet</w:t>
            </w:r>
          </w:p>
        </w:tc>
        <w:tc>
          <w:tcPr>
            <w:tcW w:w="6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Dein Impuls, ein bis drei Wörter. Das Feld von deinem Interessenblatt.</w:t>
            </w:r>
          </w:p>
        </w:tc>
      </w:tr>
      <w:tr>
        <w:trPr>
          <w:cantSplit/>
        </w:trPr>
        <w:tc>
          <w:tcPr>
            <w:tcW w:w="26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2  Thema</w:t>
            </w:r>
          </w:p>
        </w:tc>
        <w:tc>
          <w:tcPr>
            <w:tcW w:w="64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Der Arbeitstitel. Kein Impulswort allein – am besten steckt deine Frage schon darin.</w:t>
            </w:r>
          </w:p>
        </w:tc>
      </w:tr>
      <w:tr>
        <w:trPr>
          <w:cantSplit/>
        </w:trPr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3  Grund für die Wahl</w:t>
            </w:r>
          </w:p>
        </w:tc>
        <w:tc>
          <w:tcPr>
            <w:tcW w:w="6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Drei Sätze: Warum interessiert dich das? Was willst du herausfinden? Was vermutest du jetzt schon?</w:t>
            </w:r>
          </w:p>
        </w:tc>
      </w:tr>
      <w:tr>
        <w:trPr>
          <w:cantSplit/>
        </w:trPr>
        <w:tc>
          <w:tcPr>
            <w:tcW w:w="26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4  Beschreibung der Aufgabe</w:t>
            </w:r>
          </w:p>
        </w:tc>
        <w:tc>
          <w:tcPr>
            <w:tcW w:w="64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Deine Frage in einem Satz, die Bauart, und die Mathematik – mit mindestens zwei Blocknummern.</w:t>
            </w:r>
          </w:p>
        </w:tc>
      </w:tr>
      <w:tr>
        <w:trPr>
          <w:cantSplit/>
        </w:trPr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5  Gesamtplanung</w:t>
            </w:r>
          </w:p>
        </w:tc>
        <w:tc>
          <w:tcPr>
            <w:tcW w:w="6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In welchen Schritten gehst du vor, und bis wann? Orientiere dich an M 14.</w:t>
            </w:r>
          </w:p>
        </w:tc>
      </w:tr>
      <w:tr>
        <w:trPr>
          <w:cantSplit/>
        </w:trPr>
        <w:tc>
          <w:tcPr>
            <w:tcW w:w="26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6  Impulsmaterial und Daten</w:t>
            </w:r>
          </w:p>
        </w:tc>
        <w:tc>
          <w:tcPr>
            <w:tcW w:w="64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Woher kommen deine Zahlen? Erhebst du sie selbst? Wie viele brauchst du? Welche Quellen?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M 12 je Person doppelt: eine Ausfertigung für mich, eine bleibt bei der Person. Die Ausfüllhilfe steht auf dem Blatt selbst.</w:t>
            </w:r>
          </w:p>
        </w:tc>
      </w:tr>
    </w:tbl>
    <w:p>
      <w:pPr>
        <w:spacing w:after="120" w:line="288" w:lineRule="auto"/>
      </w:pPr>
    </w:p>
    <w:p>
      <w:r>
        <w:br w:type="page"/>
      </w: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13</w:t>
      </w:r>
      <w:r>
        <w:rPr>
          <w:rFonts w:ascii="Calibri" w:hAnsi="Calibri"/>
          <w:b/>
          <w:color w:val="5E5E5E"/>
          <w:sz w:val="17"/>
        </w:rPr>
        <w:t xml:space="preserve">   ·   VORSICHT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Die beiden schwierigen Felder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4513"/>
        <w:gridCol w:w="4513"/>
      </w:tblGrid>
      <w:tr>
        <w:trPr>
          <w:tblHeader w:val="true"/>
          <w:cantSplit/>
        </w:trPr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Feld 2 – der Titel</w:t>
            </w:r>
          </w:p>
        </w:tc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Feld 4 – die Aufgabe</w:t>
            </w:r>
          </w:p>
        </w:tc>
      </w:tr>
      <w:tr>
        <w:trPr>
          <w:cantSplit/>
        </w:trPr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Nicht: „Zahlenmuster“.</w:t>
            </w:r>
          </w:p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Sondern: „Zahlenmuster – eine Erkundung zu den Endziffern von Primzahlen“.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 IB rät ausdrücklich davon ab, ein Impulswort als Titel zu nehmen.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Ein Satz mit Fragezeichen. Dazu die Bauart: Modellierung, Untersuchung oder Anwendung.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Und mindestens zwei Blocknummern aus dem Kursbuch. Wer die nicht nennen kann, hat noch keine Aufgabe.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Die beiden Felder sind die, an denen ich beim Abzeichnen hängenbleibe.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Diese Folie während der Einzelarbeit stehen lassen. Sie spart die Hälfte der Rückfragen.</w:t>
            </w:r>
          </w:p>
        </w:tc>
      </w:tr>
    </w:tbl>
    <w:p>
      <w:pPr>
        <w:spacing w:after="120" w:line="288" w:lineRule="auto"/>
      </w:pP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14</w:t>
      </w:r>
      <w:r>
        <w:rPr>
          <w:rFonts w:ascii="Calibri" w:hAnsi="Calibri"/>
          <w:b/>
          <w:color w:val="5E5E5E"/>
          <w:sz w:val="17"/>
        </w:rPr>
        <w:t xml:space="preserve">   ·   EINORDNUNG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Was „abgezeichnet“ bedeutet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4513"/>
        <w:gridCol w:w="4513"/>
      </w:tblGrid>
      <w:tr>
        <w:trPr>
          <w:tblHeader w:val="true"/>
          <w:cantSplit/>
        </w:trPr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Abgezeichnet heißt nicht</w:t>
            </w:r>
          </w:p>
        </w:tc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Abgezeichnet heißt</w:t>
            </w:r>
          </w:p>
        </w:tc>
      </w:tr>
      <w:tr>
        <w:trPr>
          <w:cantSplit/>
        </w:trPr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endgültig genehmigt. Es heißt auch nicht, dass die Arbeit damit gut wird.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Diese Frage ist tragfähig genug, um damit anzufangen.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Ein Wechsel danach ist möglich – er kostet eine Beratung und einen neuen Untersuchungsplan.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1F4EC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0F3D2A"/>
                <w:sz w:val="22"/>
              </w:rPr>
              <w:t xml:space="preserve">Wer heute nicht fertig wird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bekommt eine Auflage und einen Termin in der Folgewoche. Das ist kein Makel – aber es ist ein Termin, kein Vorschlag.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Den Unterschied deutlich sagen. Sonst entsteht der Eindruck, mit der Unterschrift sei die Arbeit inhaltlich abgesegnet.</w:t>
            </w:r>
          </w:p>
        </w:tc>
      </w:tr>
    </w:tbl>
    <w:p>
      <w:pPr>
        <w:spacing w:after="120" w:line="288" w:lineRule="auto"/>
      </w:pPr>
    </w:p>
    <w:p>
      <w:r>
        <w:br w:type="page"/>
      </w: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15</w:t>
      </w:r>
      <w:r>
        <w:rPr>
          <w:rFonts w:ascii="Calibri" w:hAnsi="Calibri"/>
          <w:b/>
          <w:color w:val="5E5E5E"/>
          <w:sz w:val="17"/>
        </w:rPr>
        <w:t xml:space="preserve">   ·   MATERIAL M 14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Die Zeitschiene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500"/>
        <w:gridCol w:w="4200"/>
        <w:gridCol w:w="2200"/>
        <w:gridCol w:w="2126"/>
      </w:tblGrid>
      <w:tr>
        <w:trPr>
          <w:tblHeader w:val="true"/>
          <w:cantSplit/>
        </w:trPr>
        <w:tc>
          <w:tcPr>
            <w:tcW w:w="5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Nr.</w:t>
            </w:r>
          </w:p>
        </w:tc>
        <w:tc>
          <w:tcPr>
            <w:tcW w:w="42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Was</w:t>
            </w:r>
          </w:p>
        </w:tc>
        <w:tc>
          <w:tcPr>
            <w:tcW w:w="22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Wann</w:t>
            </w:r>
          </w:p>
        </w:tc>
        <w:tc>
          <w:tcPr>
            <w:tcW w:w="2126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Datum</w:t>
            </w:r>
          </w:p>
        </w:tc>
      </w:tr>
      <w:tr>
        <w:trPr>
          <w:cantSplit/>
        </w:trPr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19"/>
              </w:rPr>
              <w:t xml:space="preserve">1</w:t>
            </w:r>
          </w:p>
        </w:tc>
        <w:tc>
          <w:tcPr>
            <w:tcW w:w="4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Themenanmeldung – Formular A</w:t>
            </w:r>
          </w:p>
        </w:tc>
        <w:tc>
          <w:tcPr>
            <w:tcW w:w="2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heute</w:t>
            </w:r>
          </w:p>
        </w:tc>
        <w:tc>
          <w:tcPr>
            <w:tcW w:w="21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________________</w:t>
            </w:r>
          </w:p>
        </w:tc>
      </w:tr>
      <w:tr>
        <w:trPr>
          <w:cantSplit/>
        </w:trPr>
        <w:tc>
          <w:tcPr>
            <w:tcW w:w="5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19"/>
              </w:rPr>
              <w:t xml:space="preserve">2</w:t>
            </w:r>
          </w:p>
        </w:tc>
        <w:tc>
          <w:tcPr>
            <w:tcW w:w="42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Untersuchungsplan: eine Seite</w:t>
            </w:r>
          </w:p>
        </w:tc>
        <w:tc>
          <w:tcPr>
            <w:tcW w:w="22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3 bis 4 Wochen</w:t>
            </w:r>
          </w:p>
        </w:tc>
        <w:tc>
          <w:tcPr>
            <w:tcW w:w="21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________________</w:t>
            </w:r>
          </w:p>
        </w:tc>
      </w:tr>
      <w:tr>
        <w:trPr>
          <w:cantSplit/>
        </w:trPr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19"/>
              </w:rPr>
              <w:t xml:space="preserve">3</w:t>
            </w:r>
          </w:p>
        </w:tc>
        <w:tc>
          <w:tcPr>
            <w:tcW w:w="4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Zwischengespräch zum Stand (keine Abgabe)</w:t>
            </w:r>
          </w:p>
        </w:tc>
        <w:tc>
          <w:tcPr>
            <w:tcW w:w="2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6 bis 8 Wochen</w:t>
            </w:r>
          </w:p>
        </w:tc>
        <w:tc>
          <w:tcPr>
            <w:tcW w:w="21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________________</w:t>
            </w:r>
          </w:p>
        </w:tc>
      </w:tr>
      <w:tr>
        <w:trPr>
          <w:cantSplit/>
        </w:trPr>
        <w:tc>
          <w:tcPr>
            <w:tcW w:w="5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19"/>
              </w:rPr>
              <w:t xml:space="preserve">4</w:t>
            </w:r>
          </w:p>
        </w:tc>
        <w:tc>
          <w:tcPr>
            <w:tcW w:w="42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Rohfassung – die eine Fassung mit Rückmeldung</w:t>
            </w:r>
          </w:p>
        </w:tc>
        <w:tc>
          <w:tcPr>
            <w:tcW w:w="22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</w:p>
        </w:tc>
        <w:tc>
          <w:tcPr>
            <w:tcW w:w="21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________________</w:t>
            </w:r>
          </w:p>
        </w:tc>
      </w:tr>
      <w:tr>
        <w:trPr>
          <w:cantSplit/>
        </w:trPr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19"/>
              </w:rPr>
              <w:t xml:space="preserve">5</w:t>
            </w:r>
          </w:p>
        </w:tc>
        <w:tc>
          <w:tcPr>
            <w:tcW w:w="4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Reinfassung mit Deckblatt und Quellen</w:t>
            </w:r>
          </w:p>
        </w:tc>
        <w:tc>
          <w:tcPr>
            <w:tcW w:w="2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4 bis 6 Wochen danach</w:t>
            </w:r>
          </w:p>
        </w:tc>
        <w:tc>
          <w:tcPr>
            <w:tcW w:w="21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________________</w:t>
            </w:r>
          </w:p>
        </w:tc>
      </w:tr>
      <w:tr>
        <w:trPr>
          <w:cantSplit/>
        </w:trPr>
        <w:tc>
          <w:tcPr>
            <w:tcW w:w="5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19"/>
              </w:rPr>
              <w:t xml:space="preserve">6</w:t>
            </w:r>
          </w:p>
        </w:tc>
        <w:tc>
          <w:tcPr>
            <w:tcW w:w="42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Abgabegespräch – zehn Minuten</w:t>
            </w:r>
          </w:p>
        </w:tc>
        <w:tc>
          <w:tcPr>
            <w:tcW w:w="22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innerhalb von zwei Wochen</w:t>
            </w:r>
          </w:p>
        </w:tc>
        <w:tc>
          <w:tcPr>
            <w:tcW w:w="21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________________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 Datumsspalte vorher ausfüllen und hier einsetzen oder an die Tafel schreiben. Leere Termine werden nicht eingehalten.</w:t>
            </w:r>
          </w:p>
        </w:tc>
      </w:tr>
    </w:tbl>
    <w:p>
      <w:pPr>
        <w:spacing w:after="120" w:line="288" w:lineRule="auto"/>
      </w:pP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16</w:t>
      </w:r>
      <w:r>
        <w:rPr>
          <w:rFonts w:ascii="Calibri" w:hAnsi="Calibri"/>
          <w:b/>
          <w:color w:val="5E5E5E"/>
          <w:sz w:val="17"/>
        </w:rPr>
        <w:t xml:space="preserve">   ·   MATERIAL M 14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Was ich darf und was nicht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1300"/>
        <w:gridCol w:w="4000"/>
        <w:gridCol w:w="3726"/>
      </w:tblGrid>
      <w:tr>
        <w:trPr>
          <w:tblHeader w:val="true"/>
          <w:cantSplit/>
        </w:trPr>
        <w:tc>
          <w:tcPr>
            <w:tcW w:w="13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</w:p>
        </w:tc>
        <w:tc>
          <w:tcPr>
            <w:tcW w:w="40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Ich darf</w:t>
            </w:r>
          </w:p>
        </w:tc>
        <w:tc>
          <w:tcPr>
            <w:tcW w:w="3726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Ich darf nicht</w:t>
            </w:r>
          </w:p>
        </w:tc>
      </w:tr>
      <w:tr>
        <w:trPr>
          <w:cantSplit/>
        </w:trPr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Thema</w:t>
            </w:r>
          </w:p>
        </w:tc>
        <w:tc>
          <w:tcPr>
            <w:tcW w:w="4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vorschlagen, eingrenzen, abraten</w:t>
            </w:r>
          </w:p>
        </w:tc>
        <w:tc>
          <w:tcPr>
            <w:tcW w:w="37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dir das Thema vorgeben</w:t>
            </w:r>
          </w:p>
        </w:tc>
      </w:tr>
      <w:tr>
        <w:trPr>
          <w:cantSplit/>
        </w:trPr>
        <w:tc>
          <w:tcPr>
            <w:tcW w:w="13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Beratung</w:t>
            </w:r>
          </w:p>
        </w:tc>
        <w:tc>
          <w:tcPr>
            <w:tcW w:w="40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mündlich beraten, so oft du willst</w:t>
            </w:r>
          </w:p>
        </w:tc>
        <w:tc>
          <w:tcPr>
            <w:tcW w:w="37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—</w:t>
            </w:r>
          </w:p>
        </w:tc>
      </w:tr>
      <w:tr>
        <w:trPr>
          <w:cantSplit/>
        </w:trPr>
        <w:tc>
          <w:tcPr>
            <w:tcW w:w="1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Entwurf</w:t>
            </w:r>
          </w:p>
        </w:tc>
        <w:tc>
          <w:tcPr>
            <w:tcW w:w="4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genau eine Fassung lesen und kommentieren</w:t>
            </w:r>
          </w:p>
        </w:tc>
        <w:tc>
          <w:tcPr>
            <w:tcW w:w="37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eine zweite Fassung kommentieren, redigieren, korrigieren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E7EFD8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Rat zu suchen kostet dich nie Punkte. Das steht so im Handbuch. Wer nicht fragt, verschenkt etwas.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 Regel mit der einen Fassung ist die wichtigste. Sie steht so in den Handreichungen und wird erfahrungsgemäß überhört.</w:t>
            </w:r>
          </w:p>
        </w:tc>
      </w:tr>
    </w:tbl>
    <w:p>
      <w:pPr>
        <w:spacing w:after="120" w:line="288" w:lineRule="auto"/>
      </w:pPr>
    </w:p>
    <w:p>
      <w:r>
        <w:br w:type="page"/>
      </w: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17</w:t>
      </w:r>
      <w:r>
        <w:rPr>
          <w:rFonts w:ascii="Calibri" w:hAnsi="Calibri"/>
          <w:b/>
          <w:color w:val="5E5E5E"/>
          <w:sz w:val="17"/>
        </w:rPr>
        <w:t xml:space="preserve">   ·   SPIELREGELN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Zusammenarbeit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2100"/>
        <w:gridCol w:w="6926"/>
      </w:tblGrid>
      <w:tr>
        <w:trPr>
          <w:cantSplit/>
        </w:trPr>
        <w:tc>
          <w:tcPr>
            <w:tcW w:w="2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Erwünscht</w:t>
            </w:r>
          </w:p>
        </w:tc>
        <w:tc>
          <w:tcPr>
            <w:tcW w:w="69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Ideen entwickeln, Themen besprechen, Quellen austauschen, euch gegenseitig Rückmeldung zu euren Texten geben.</w:t>
            </w:r>
          </w:p>
        </w:tc>
      </w:tr>
      <w:tr>
        <w:trPr>
          <w:cantSplit/>
        </w:trPr>
        <w:tc>
          <w:tcPr>
            <w:tcW w:w="21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Nicht zulässig</w:t>
            </w:r>
          </w:p>
        </w:tc>
        <w:tc>
          <w:tcPr>
            <w:tcW w:w="69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Eine gemeinsame Arbeit. Jede Erkundungsarbeit ist eine Einzelarbeit.</w:t>
            </w:r>
          </w:p>
        </w:tc>
      </w:tr>
      <w:tr>
        <w:trPr>
          <w:cantSplit/>
        </w:trPr>
        <w:tc>
          <w:tcPr>
            <w:tcW w:w="2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Messwerte</w:t>
            </w:r>
          </w:p>
        </w:tc>
        <w:tc>
          <w:tcPr>
            <w:tcW w:w="69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dürft ihr gemeinsam erheben. Jede und jeder sammelt eigene Daten; gemeinsame Daten beschreibt ihr in der Arbeit.</w:t>
            </w:r>
          </w:p>
        </w:tc>
      </w:tr>
      <w:tr>
        <w:trPr>
          <w:cantSplit/>
        </w:trPr>
        <w:tc>
          <w:tcPr>
            <w:tcW w:w="21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Punkte</w:t>
            </w:r>
          </w:p>
        </w:tc>
        <w:tc>
          <w:tcPr>
            <w:tcW w:w="69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gibt es für deine Leistung bei der Entwicklung der Arbeit – nicht für Ergebnisse, die anderswo stehen.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Zusammen denken ist erlaubt. Zusammen schreiben nicht.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Kurz halten. Der Merksatz ist das, was hängenbleibt.</w:t>
            </w:r>
          </w:p>
        </w:tc>
      </w:tr>
    </w:tbl>
    <w:p>
      <w:pPr>
        <w:spacing w:after="120" w:line="288" w:lineRule="auto"/>
      </w:pP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18</w:t>
      </w:r>
      <w:r>
        <w:rPr>
          <w:rFonts w:ascii="Calibri" w:hAnsi="Calibri"/>
          <w:b/>
          <w:color w:val="5E5E5E"/>
          <w:sz w:val="17"/>
        </w:rPr>
        <w:t xml:space="preserve">   ·   SPIELREGELN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Akademische Redlichkeit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8E7E7"/>
            <w:tcBorders>
              <w:left w:val="single" w:sz="26" w:space="0" w:color="C0272D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C0272D"/>
                <w:sz w:val="22"/>
              </w:rPr>
              <w:t xml:space="preserve">Fremde Arbeiten im Netz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Themenlisten anschauen: erlaubt. Ein Thema, das dort steht, ist nicht verbrannt – es kommt darauf an, was du daraus machst.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Eine fremde Arbeit als Vorlage für Aufbau, Formulierungen oder Rechenwege: nicht erlaubt. Wenn du daraus eine Idee übernimmst, zitierst du sie – das kostet keine Punkte.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Künstliche Intelligenz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Erlaubt: Ideensuche, ein Verfahren nachschlagen, Sprachkorrektur – so wie ein Wörterbuch erlaubt ist.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Nicht erlaubt: Mathematik, Argumentation, Reflexion oder Text, die du nicht selbst erzeugt hast und als eigene ausgibst.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Pflicht: Jede Nutzung über Sprachkorrektur hinaus steht im Quellenverzeichnis – mit Werkzeug, Datum und der Frage, die du gestellt hast.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E7EFD8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Die Probe aufs Exempel ist das Abgabegespräch: Du erklärst zwei Stellen deiner eigenen Arbeit.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Beim Thema KI nicht ausweichen. Eine klare, kurze Regel ist besser als eine lange Warnung – sie steht auf M 14.</w:t>
            </w:r>
          </w:p>
        </w:tc>
      </w:tr>
    </w:tbl>
    <w:p>
      <w:pPr>
        <w:spacing w:after="120" w:line="288" w:lineRule="auto"/>
      </w:pPr>
    </w:p>
    <w:p>
      <w:r>
        <w:br w:type="page"/>
      </w: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19</w:t>
      </w:r>
      <w:r>
        <w:rPr>
          <w:rFonts w:ascii="Calibri" w:hAnsi="Calibri"/>
          <w:b/>
          <w:color w:val="5E5E5E"/>
          <w:sz w:val="17"/>
        </w:rPr>
        <w:t xml:space="preserve">   ·   ABSCHLUSS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Damit fängt es an</w:t>
      </w:r>
    </w:p>
    <w:p>
      <w:pPr>
        <w:pStyle w:val="KPFließtext"/>
        <w:spacing w:line="288" w:lineRule="auto"/>
      </w:pPr>
      <w:r>
        <w:rPr>
          <w:rFonts w:ascii="Cambria" w:hAnsi="Cambria"/>
          <w:color w:val="1C1C1C"/>
          <w:sz w:val="22"/>
        </w:rPr>
        <w:t xml:space="preserve">Der Workshop ist zu Ende. Was ihr jetzt habt: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2256"/>
        <w:gridCol w:w="2256"/>
        <w:gridCol w:w="2257"/>
        <w:gridCol w:w="2257"/>
      </w:tblGrid>
      <w:tr>
        <w:trPr>
          <w:tblHeader w:val="true"/>
          <w:cantSplit/>
        </w:trPr>
        <w:tc>
          <w:tcPr>
            <w:tcW w:w="2256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5</w:t>
            </w:r>
          </w:p>
        </w:tc>
        <w:tc>
          <w:tcPr>
            <w:tcW w:w="2256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3</w:t>
            </w:r>
          </w:p>
        </w:tc>
        <w:tc>
          <w:tcPr>
            <w:tcW w:w="2257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1</w:t>
            </w:r>
          </w:p>
        </w:tc>
        <w:tc>
          <w:tcPr>
            <w:tcW w:w="2257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6</w:t>
            </w:r>
          </w:p>
        </w:tc>
      </w:tr>
      <w:tr>
        <w:trPr>
          <w:cantSplit/>
        </w:trPr>
        <w:tc>
          <w:tcPr>
            <w:tcW w:w="225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Kriterien, die ihr lesen könnt</w:t>
            </w:r>
          </w:p>
        </w:tc>
        <w:tc>
          <w:tcPr>
            <w:tcW w:w="225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bewertete Musterarbeiten</w:t>
            </w:r>
          </w:p>
        </w:tc>
        <w:tc>
          <w:tcPr>
            <w:tcW w:w="2257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Frage, die eure ist</w:t>
            </w:r>
          </w:p>
        </w:tc>
        <w:tc>
          <w:tcPr>
            <w:tcW w:w="2257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Termine, die stehen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Was jetzt passiert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 abgezeichneten Formulare bleiben bei mir, die Kopie bei euch. Der nächste Termin ist der Untersuchungsplan – eine Seite, in drei bis vier Wochen.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Und bis dahin gilt: Wer früh anfängt zu messen, hat später die Wahl.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 Formulare wirklich einsammeln und noch in der Stunde durchzählen. Wer fehlt, bekommt den Termin in der Folgewoche.</w:t>
            </w:r>
          </w:p>
        </w:tc>
      </w:tr>
    </w:tbl>
    <w:p>
      <w:pPr>
        <w:spacing w:after="120" w:line="288" w:lineRule="auto"/>
      </w:pPr>
    </w:p>
    <w:sectPr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1906" w:h="16838"/>
      <w:pgMar w:top="1300" w:right="1440" w:bottom="130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8" w:space="4" w:color="CFCFCF"/>
      </w:pBdr>
      <w:tabs>
        <w:tab w:val="clear" w:pos="4513"/>
        <w:tab w:val="clear" w:pos="4536"/>
        <w:tab w:val="clear" w:pos="9026"/>
        <w:tab w:val="clear" w:pos="9072"/>
        <w:tab w:val="right" w:pos="9026"/>
      </w:tabs>
      <w:spacing w:before="60"/>
    </w:pPr>
    <w:r/>
    <w:r>
      <w:rPr>
        <w:rFonts w:ascii="Calibri" w:hAnsi="Calibri"/>
        <w:color w:val="9A9A9A"/>
        <w:sz w:val="16"/>
      </w:rPr>
      <w:t>© 2026 Dirk Kehm</w:t>
    </w:r>
    <w:r>
      <w:rPr>
        <w:rFonts w:ascii="Calibri" w:hAnsi="Calibri"/>
        <w:color w:val="9A9A9A"/>
        <w:sz w:val="16"/>
      </w:rPr>
      <w:tab/>
      <w:t xml:space="preserve">Präsentation als Lesefassung  ·  </w:t>
    </w:r>
    <w:r>
      <w:rPr>
        <w:rFonts w:ascii="Calibri" w:hAnsi="Calibri"/>
        <w:b/>
        <w:color w:val="0F3D2A"/>
        <w:sz w:val="16"/>
      </w:rPr>
      <w:fldChar w:fldCharType="begin"/>
    </w:r>
    <w:r>
      <w:rPr>
        <w:rFonts w:ascii="Calibri" w:hAnsi="Calibri"/>
        <w:b/>
        <w:color w:val="0F3D2A"/>
        <w:sz w:val="16"/>
      </w:rPr>
      <w:instrText xml:space="preserve">PAGE</w:instrText>
    </w:r>
    <w:r>
      <w:rPr>
        <w:rFonts w:ascii="Calibri" w:hAnsi="Calibri"/>
        <w:b/>
        <w:color w:val="0F3D2A"/>
        <w:sz w:val="16"/>
      </w:rPr>
      <w:fldChar w:fldCharType="separate"/>
    </w:r>
    <w:r>
      <w:rPr>
        <w:rFonts w:ascii="Calibri" w:hAnsi="Calibri"/>
        <w:b/>
        <w:color w:val="0F3D2A"/>
        <w:sz w:val="16"/>
      </w:rPr>
      <w:t>1</w:t>
    </w:r>
    <w:r>
      <w:rPr>
        <w:rFonts w:ascii="Calibri" w:hAnsi="Calibri"/>
        <w:b/>
        <w:color w:val="0F3D2A"/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bottom w:val="single" w:sz="8" w:space="2" w:color="8FB840"/>
      </w:pBdr>
      <w:tabs>
        <w:tab w:val="clear" w:pos="4513"/>
        <w:tab w:val="clear" w:pos="4536"/>
        <w:tab w:val="clear" w:pos="9026"/>
        <w:tab w:val="clear" w:pos="9072"/>
        <w:tab w:val="right" w:pos="9026"/>
      </w:tabs>
    </w:pPr>
    <w:r/>
    <w:r>
      <w:rPr>
        <w:rFonts w:ascii="Calibri" w:hAnsi="Calibri"/>
        <w:b/>
        <w:color w:val="0F3D2A"/>
        <w:spacing w:val="30"/>
        <w:sz w:val="16"/>
      </w:rPr>
      <w:t>DIE ERKUNDUNGSARBEIT  ·  DOPPELSTUNDE 6</w:t>
    </w:r>
    <w:r>
      <w:rPr>
        <w:rFonts w:ascii="Calibri" w:hAnsi="Calibri"/>
        <w:color w:val="808080"/>
        <w:sz w:val="16"/>
      </w:rPr>
      <w:tab/>
      <w:t>Präsentation als Lesefassung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88" w:lineRule="auto"/>
    </w:pPr>
    <w:rPr>
      <w:rFonts w:ascii="Cambria" w:hAnsi="Cambria" w:eastAsia="Cambria" w:cs="Cambria"/>
      <w:color w:val="1C1C1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PTeil">
    <w:name w:val="KP Teil"/>
    <w:basedOn w:val="Normal"/>
    <w:pPr>
      <w:keepNext/>
      <w:spacing w:before="0" w:after="280" w:line="288" w:lineRule="auto"/>
      <w:outlineLvl w:val="0"/>
      <w:pBdr>
        <w:bottom w:val="single" w:sz="18" w:space="6" w:color="8FB840"/>
      </w:pBdr>
    </w:pPr>
    <w:rPr>
      <w:rFonts w:ascii="Calibri" w:hAnsi="Calibri" w:eastAsia="Calibri" w:cs="Calibri"/>
      <w:b/>
      <w:i w:val="0"/>
      <w:color w:val="0F3D2A"/>
      <w:sz w:val="44"/>
    </w:rPr>
  </w:style>
  <w:style w:type="paragraph" w:customStyle="1" w:styleId="KPKapitel">
    <w:name w:val="KP Kapitel"/>
    <w:basedOn w:val="Normal"/>
    <w:pPr>
      <w:keepNext/>
      <w:spacing w:before="280" w:after="200" w:line="288" w:lineRule="auto"/>
      <w:outlineLvl w:val="1"/>
      <w:pBdr>
        <w:bottom w:val="single" w:sz="12" w:space="5" w:color="8FB840"/>
      </w:pBdr>
    </w:pPr>
    <w:rPr>
      <w:rFonts w:ascii="Calibri" w:hAnsi="Calibri" w:eastAsia="Calibri" w:cs="Calibri"/>
      <w:b/>
      <w:i w:val="0"/>
      <w:color w:val="0F3D2A"/>
      <w:sz w:val="32"/>
    </w:rPr>
  </w:style>
  <w:style w:type="paragraph" w:customStyle="1" w:styleId="KPAbschnitt">
    <w:name w:val="KP Abschnitt"/>
    <w:basedOn w:val="Normal"/>
    <w:pPr>
      <w:keepNext/>
      <w:spacing w:before="200" w:after="120" w:line="288" w:lineRule="auto"/>
      <w:outlineLvl w:val="2"/>
      <w:pBdr>
        <w:bottom w:val="single" w:sz="6" w:space="4" w:color="DCE8C2"/>
      </w:pBdr>
    </w:pPr>
    <w:rPr>
      <w:rFonts w:ascii="Calibri" w:hAnsi="Calibri" w:eastAsia="Calibri" w:cs="Calibri"/>
      <w:b/>
      <w:i w:val="0"/>
      <w:color w:val="0F3D2A"/>
      <w:sz w:val="24"/>
    </w:rPr>
  </w:style>
  <w:style w:type="paragraph" w:customStyle="1" w:styleId="KPUnterpunkt">
    <w:name w:val="KP Unterpunkt"/>
    <w:basedOn w:val="Normal"/>
    <w:pPr>
      <w:keepNext/>
      <w:spacing w:before="160" w:after="80" w:line="288" w:lineRule="auto"/>
      <w:outlineLvl w:val="3"/>
    </w:pPr>
    <w:rPr>
      <w:rFonts w:ascii="Calibri" w:hAnsi="Calibri" w:eastAsia="Calibri" w:cs="Calibri"/>
      <w:b/>
      <w:i w:val="0"/>
      <w:color w:val="0F3D2A"/>
      <w:sz w:val="21"/>
    </w:rPr>
  </w:style>
  <w:style w:type="paragraph" w:customStyle="1" w:styleId="KPBlocktitel">
    <w:name w:val="KP Blocktitel"/>
    <w:basedOn w:val="Normal"/>
    <w:pPr>
      <w:keepNext/>
      <w:spacing w:before="240" w:after="160" w:line="288" w:lineRule="auto"/>
      <w:outlineLvl w:val="2"/>
      <w:pBdr>
        <w:bottom w:val="single" w:sz="12" w:space="5" w:color="8FB840"/>
      </w:pBdr>
    </w:pPr>
    <w:rPr>
      <w:rFonts w:ascii="Calibri" w:hAnsi="Calibri" w:eastAsia="Calibri" w:cs="Calibri"/>
      <w:b/>
      <w:i w:val="0"/>
      <w:color w:val="0F3D2A"/>
      <w:sz w:val="28"/>
    </w:rPr>
  </w:style>
  <w:style w:type="paragraph" w:customStyle="1" w:styleId="KPFeldname">
    <w:name w:val="KP Feldname"/>
    <w:basedOn w:val="Normal"/>
    <w:pPr>
      <w:keepNext/>
      <w:spacing w:before="120" w:after="40" w:line="288" w:lineRule="auto"/>
    </w:pPr>
    <w:rPr>
      <w:rFonts w:ascii="Calibri" w:hAnsi="Calibri" w:eastAsia="Calibri" w:cs="Calibri"/>
      <w:b/>
      <w:i w:val="0"/>
      <w:color w:val="0F3D2A"/>
      <w:sz w:val="19"/>
    </w:rPr>
  </w:style>
  <w:style w:type="paragraph" w:customStyle="1" w:styleId="KPFließtext">
    <w:name w:val="KP Fließtext"/>
    <w:basedOn w:val="Normal"/>
    <w:pPr>
      <w:keepNext w:val="0"/>
      <w:spacing w:before="0" w:after="120" w:line="288" w:lineRule="auto"/>
    </w:pPr>
    <w:rPr>
      <w:rFonts w:ascii="Cambria" w:hAnsi="Cambria" w:eastAsia="Cambria" w:cs="Cambria"/>
      <w:b w:val="0"/>
      <w:i w:val="0"/>
      <w:color w:val="1C1C1C"/>
      <w:sz w:val="22"/>
    </w:rPr>
  </w:style>
  <w:style w:type="paragraph" w:customStyle="1" w:styleId="KPKlein">
    <w:name w:val="KP Klein"/>
    <w:basedOn w:val="Normal"/>
    <w:pPr>
      <w:keepNext w:val="0"/>
      <w:spacing w:before="0" w:after="80" w:line="288" w:lineRule="auto"/>
    </w:pPr>
    <w:rPr>
      <w:rFonts w:ascii="Calibri" w:hAnsi="Calibri" w:eastAsia="Calibri" w:cs="Calibri"/>
      <w:b w:val="0"/>
      <w:i w:val="0"/>
      <w:color w:val="5E5E5E"/>
      <w:sz w:val="18"/>
    </w:rPr>
  </w:style>
  <w:style w:type="paragraph" w:customStyle="1" w:styleId="KPKasten">
    <w:name w:val="KP Kasten"/>
    <w:basedOn w:val="Normal"/>
    <w:pPr>
      <w:keepNext w:val="0"/>
      <w:spacing w:before="0" w:after="80" w:line="288" w:lineRule="auto"/>
    </w:pPr>
    <w:rPr>
      <w:rFonts w:ascii="Cambria" w:hAnsi="Cambria" w:eastAsia="Cambria" w:cs="Cambria"/>
      <w:b w:val="0"/>
      <w:i w:val="0"/>
      <w:color w:val="1C1C1C"/>
      <w:sz w:val="20"/>
    </w:rPr>
  </w:style>
  <w:style w:type="paragraph" w:customStyle="1" w:styleId="KPListe">
    <w:name w:val="KP Liste"/>
    <w:basedOn w:val="Normal"/>
    <w:pPr>
      <w:keepNext w:val="0"/>
      <w:spacing w:before="0" w:after="60" w:line="288" w:lineRule="auto"/>
      <w:ind w:left="397" w:hanging="397"/>
    </w:pPr>
    <w:rPr>
      <w:rFonts w:ascii="Cambria" w:hAnsi="Cambria" w:eastAsia="Cambria" w:cs="Cambria"/>
      <w:b w:val="0"/>
      <w:i w:val="0"/>
      <w:color w:val="1C1C1C"/>
      <w:sz w:val="22"/>
    </w:rPr>
  </w:style>
  <w:style w:type="paragraph" w:customStyle="1" w:styleId="KPListekompakt">
    <w:name w:val="KP Liste kompakt"/>
    <w:basedOn w:val="Normal"/>
    <w:pPr>
      <w:keepNext w:val="0"/>
      <w:spacing w:before="0" w:after="20" w:line="264" w:lineRule="auto"/>
      <w:ind w:left="340" w:hanging="340"/>
    </w:pPr>
    <w:rPr>
      <w:rFonts w:ascii="Cambria" w:hAnsi="Cambria" w:eastAsia="Cambria" w:cs="Cambria"/>
      <w:b w:val="0"/>
      <w:i w:val="0"/>
      <w:color w:val="1C1C1C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Dirk Kehm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