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0" w:line="288" w:lineRule="auto"/>
      </w:pPr>
    </w:p>
    <w:p>
      <w:pPr>
        <w:spacing w:after="60" w:line="288" w:lineRule="auto"/>
      </w:pPr>
      <w:r>
        <w:rPr>
          <w:rFonts w:ascii="Calibri" w:hAnsi="Calibri"/>
          <w:b/>
          <w:color w:val="0F3D2A"/>
          <w:sz w:val="60"/>
        </w:rPr>
        <w:t xml:space="preserve">Erwartungsbewertung</w:t>
      </w:r>
    </w:p>
    <w:p>
      <w:pPr>
        <w:spacing w:after="200" w:line="288" w:lineRule="auto"/>
        <w:pBdr>
          <w:bottom w:val="single" w:sz="6" w:space="4" w:color="8FB840"/>
        </w:pBdr>
      </w:pPr>
      <w:r>
        <w:rPr>
          <w:rFonts w:ascii="Calibri" w:hAnsi="Calibri"/>
          <w:b/>
          <w:color w:val="8FB840"/>
          <w:sz w:val="40"/>
        </w:rPr>
        <w:t xml:space="preserve">und Lösungen</w:t>
      </w:r>
    </w:p>
    <w:p>
      <w:pPr>
        <w:spacing w:after="140" w:line="288" w:lineRule="auto"/>
      </w:pPr>
      <w:r>
        <w:rPr>
          <w:rFonts w:ascii="Cambria" w:hAnsi="Cambria"/>
          <w:color w:val="1C1C1C"/>
          <w:sz w:val="28"/>
        </w:rPr>
        <w:t xml:space="preserve">Nur für die Lehrkraft</w:t>
      </w:r>
    </w:p>
    <w:p>
      <w:pPr>
        <w:spacing w:after="500" w:line="288" w:lineRule="auto"/>
      </w:pPr>
      <w:r>
        <w:rPr>
          <w:rFonts w:ascii="Cambria" w:hAnsi="Cambria"/>
          <w:color w:val="5E5E5E"/>
          <w:sz w:val="22"/>
        </w:rPr>
        <w:t xml:space="preserve">Die drei Musterarbeiten Kriterium für Kriterium  ·  Lösungen zu M 5, M 7 und M 8  ·  Rückmeldebogen zur Entwurfsfassung</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8E7E7"/>
            <w:tcBorders>
              <w:left w:val="single" w:sz="26" w:space="0" w:color="C0272D"/>
            </w:tcBorders>
            <w:tcMar>
              <w:top w:w="150" w:type="dxa"/>
              <w:left w:w="220" w:type="dxa"/>
              <w:bottom w:w="150" w:type="dxa"/>
              <w:right w:w="200" w:type="dxa"/>
            </w:tcMar>
          </w:tcPr>
          <w:p>
            <w:pPr>
              <w:spacing w:after="80" w:line="288" w:lineRule="auto"/>
            </w:pPr>
            <w:r>
              <w:rPr>
                <w:rFonts w:ascii="Calibri" w:hAnsi="Calibri"/>
                <w:b/>
                <w:color w:val="C0272D"/>
                <w:sz w:val="22"/>
              </w:rPr>
              <w:t xml:space="preserve">Nicht an die Lernenden austeilen</w:t>
            </w:r>
          </w:p>
          <w:p>
            <w:pPr>
              <w:spacing w:after="60" w:line="288" w:lineRule="auto"/>
            </w:pPr>
            <w:r>
              <w:rPr>
                <w:rFonts w:ascii="Cambria" w:hAnsi="Cambria"/>
                <w:color w:val="1C1C1C"/>
                <w:sz w:val="20"/>
              </w:rPr>
              <w:t xml:space="preserve">Die Punktzahlen zu den Musterarbeiten werden in Doppelstunde 5 erst nach der Punktekonferenz bekanntgegeben, in Doppelstunde 6 vorab (dort ist die Frage nicht, welche Arbeit besser ist, sondern woran der Unterschied hängt).</w:t>
            </w:r>
          </w:p>
        </w:tc>
      </w:tr>
    </w:tbl>
    <w:p>
      <w:pPr>
        <w:spacing w:after="120" w:line="288" w:lineRule="auto"/>
      </w:pPr>
    </w:p>
    <w:p>
      <w:pPr>
        <w:spacing w:after="300" w:line="288" w:lineRule="auto"/>
      </w:pPr>
    </w:p>
    <w:p>
      <w:pPr>
        <w:pStyle w:val="KPKlein"/>
        <w:spacing w:line="288" w:lineRule="auto"/>
      </w:pPr>
      <w:r>
        <w:rPr>
          <w:rFonts w:ascii="Calibri" w:hAnsi="Calibri"/>
          <w:color w:val="5E5E5E"/>
          <w:sz w:val="18"/>
        </w:rPr>
        <w:t xml:space="preserve">Dirk Kehm  ·  IGS Ho-Chi-Minh-Stadt  ·  Stand: 28. September 2026</w:t>
      </w:r>
    </w:p>
    <w:p>
      <w:r>
        <w:br w:type="page"/>
      </w:r>
    </w:p>
    <w:p>
      <w:pPr>
        <w:pStyle w:val="KPTeil"/>
        <w:spacing w:line="288" w:lineRule="auto"/>
      </w:pPr>
      <w:r>
        <w:rPr>
          <w:rFonts w:ascii="Calibri" w:hAnsi="Calibri"/>
          <w:b/>
          <w:color w:val="8FB840"/>
          <w:sz w:val="44"/>
        </w:rPr>
        <w:t xml:space="preserve">Teil A   </w:t>
      </w:r>
      <w:r>
        <w:rPr>
          <w:rFonts w:ascii="Calibri" w:hAnsi="Calibri"/>
          <w:b/>
          <w:color w:val="0F3D2A"/>
          <w:sz w:val="44"/>
        </w:rPr>
        <w:t xml:space="preserve">Wie diese Bewertungen zu lesen sind</w:t>
      </w:r>
    </w:p>
    <w:p>
      <w:pPr>
        <w:pStyle w:val="KPFließtext"/>
        <w:spacing w:line="288" w:lineRule="auto"/>
      </w:pPr>
      <w:r>
        <w:rPr>
          <w:rFonts w:ascii="Cambria" w:hAnsi="Cambria"/>
          <w:color w:val="1C1C1C"/>
          <w:sz w:val="22"/>
        </w:rPr>
        <w:t xml:space="preserve">Die drei Musterarbeiten wurden für diesen Workshop geschrieben. Sie sind gekürzt: Eine echte Erkundungsarbeit hat 12 bis 20 Seiten mit doppeltem Zeilenabstand, diese haben vier bis sechs Seiten mit anderthalbfachem. Der Umfang ist deshalb kein Bewertungsgegenstand – alles andere schon.</w:t>
      </w:r>
    </w:p>
    <w:p>
      <w:pPr>
        <w:pStyle w:val="KPFließtext"/>
        <w:spacing w:line="288" w:lineRule="auto"/>
      </w:pPr>
      <w:r>
        <w:rPr>
          <w:rFonts w:ascii="Cambria" w:hAnsi="Cambria"/>
          <w:color w:val="1C1C1C"/>
          <w:sz w:val="22"/>
        </w:rPr>
        <w:t xml:space="preserve">Die Punktzahlen sind keine amtlichen Werte. Sie sind so gesetzt, dass sich an jeder Stelle genau benennen lässt, warum die nächsthöhere Ebene nicht erreicht ist. Dort, wo die Zuordnung strittig ist, steht das ausdrücklich dabei – diese Stellen sind die produktiven Streitfälle für die Punktekonferenz.</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2700"/>
        <w:gridCol w:w="700"/>
        <w:gridCol w:w="500"/>
        <w:gridCol w:w="500"/>
        <w:gridCol w:w="500"/>
        <w:gridCol w:w="500"/>
        <w:gridCol w:w="500"/>
        <w:gridCol w:w="900"/>
        <w:gridCol w:w="2226"/>
      </w:tblGrid>
      <w:tr>
        <w:trPr>
          <w:tblHeader w:val="true"/>
          <w:cantSplit/>
        </w:trPr>
        <w:tc>
          <w:tcPr>
            <w:tcW w:w="27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Arbeit</w:t>
            </w:r>
          </w:p>
        </w:tc>
        <w:tc>
          <w:tcPr>
            <w:tcW w:w="7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Kurs</w:t>
            </w:r>
          </w:p>
        </w:tc>
        <w:tc>
          <w:tcPr>
            <w:tcW w:w="5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A</w:t>
            </w:r>
          </w:p>
        </w:tc>
        <w:tc>
          <w:tcPr>
            <w:tcW w:w="5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B</w:t>
            </w:r>
          </w:p>
        </w:tc>
        <w:tc>
          <w:tcPr>
            <w:tcW w:w="5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C</w:t>
            </w:r>
          </w:p>
        </w:tc>
        <w:tc>
          <w:tcPr>
            <w:tcW w:w="5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D</w:t>
            </w:r>
          </w:p>
        </w:tc>
        <w:tc>
          <w:tcPr>
            <w:tcW w:w="5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E</w:t>
            </w:r>
          </w:p>
        </w:tc>
        <w:tc>
          <w:tcPr>
            <w:tcW w:w="9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Summe</w:t>
            </w:r>
          </w:p>
        </w:tc>
        <w:tc>
          <w:tcPr>
            <w:tcW w:w="22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Vertretbare Spanne</w:t>
            </w:r>
          </w:p>
        </w:tc>
      </w:tr>
      <w:tr>
        <w:trPr>
          <w:cantSplit/>
        </w:trPr>
        <w:tc>
          <w:tcPr>
            <w:tcW w:w="2700" w:type="dxa"/>
            <w:tcMar>
              <w:top w:w="60" w:type="dxa"/>
              <w:left w:w="90" w:type="dxa"/>
              <w:bottom w:w="60" w:type="dxa"/>
              <w:right w:w="90" w:type="dxa"/>
            </w:tcMar>
          </w:tcPr>
          <w:p>
            <w:pPr>
              <w:spacing w:after="0" w:line="264" w:lineRule="auto"/>
            </w:pPr>
            <w:r>
              <w:rPr>
                <w:rFonts w:ascii="Cambria" w:hAnsi="Cambria"/>
                <w:b/>
                <w:color w:val="1C1C1C"/>
                <w:sz w:val="19"/>
              </w:rPr>
              <w:t xml:space="preserve">A  Der Goldene Schnitt</w:t>
            </w:r>
          </w:p>
        </w:tc>
        <w:tc>
          <w:tcPr>
            <w:tcW w:w="700" w:type="dxa"/>
            <w:tcMar>
              <w:top w:w="60" w:type="dxa"/>
              <w:left w:w="90" w:type="dxa"/>
              <w:bottom w:w="60" w:type="dxa"/>
              <w:right w:w="90" w:type="dxa"/>
            </w:tcMar>
          </w:tcPr>
          <w:p>
            <w:pPr>
              <w:spacing w:after="0" w:line="264" w:lineRule="auto"/>
            </w:pPr>
            <w:r>
              <w:rPr>
                <w:rFonts w:ascii="Cambria" w:hAnsi="Cambria"/>
                <w:color w:val="1C1C1C"/>
                <w:sz w:val="19"/>
              </w:rPr>
              <w:t xml:space="preserve">SL</w:t>
            </w:r>
          </w:p>
        </w:tc>
        <w:tc>
          <w:tcPr>
            <w:tcW w:w="500" w:type="dxa"/>
            <w:tcMar>
              <w:top w:w="60" w:type="dxa"/>
              <w:left w:w="90" w:type="dxa"/>
              <w:bottom w:w="60" w:type="dxa"/>
              <w:right w:w="90" w:type="dxa"/>
            </w:tcMar>
          </w:tcPr>
          <w:p>
            <w:pPr>
              <w:spacing w:after="0" w:line="264" w:lineRule="auto"/>
            </w:pPr>
            <w:r>
              <w:rPr>
                <w:rFonts w:ascii="Cambria" w:hAnsi="Cambria"/>
                <w:color w:val="1C1C1C"/>
                <w:sz w:val="19"/>
              </w:rPr>
              <w:t xml:space="preserve">2</w:t>
            </w:r>
          </w:p>
        </w:tc>
        <w:tc>
          <w:tcPr>
            <w:tcW w:w="500" w:type="dxa"/>
            <w:tcMar>
              <w:top w:w="60" w:type="dxa"/>
              <w:left w:w="90" w:type="dxa"/>
              <w:bottom w:w="60" w:type="dxa"/>
              <w:right w:w="90" w:type="dxa"/>
            </w:tcMar>
          </w:tcPr>
          <w:p>
            <w:pPr>
              <w:spacing w:after="0" w:line="264" w:lineRule="auto"/>
            </w:pPr>
            <w:r>
              <w:rPr>
                <w:rFonts w:ascii="Cambria" w:hAnsi="Cambria"/>
                <w:color w:val="1C1C1C"/>
                <w:sz w:val="19"/>
              </w:rPr>
              <w:t xml:space="preserve">1</w:t>
            </w:r>
          </w:p>
        </w:tc>
        <w:tc>
          <w:tcPr>
            <w:tcW w:w="500" w:type="dxa"/>
            <w:tcMar>
              <w:top w:w="60" w:type="dxa"/>
              <w:left w:w="90" w:type="dxa"/>
              <w:bottom w:w="60" w:type="dxa"/>
              <w:right w:w="90" w:type="dxa"/>
            </w:tcMar>
          </w:tcPr>
          <w:p>
            <w:pPr>
              <w:spacing w:after="0" w:line="264" w:lineRule="auto"/>
            </w:pPr>
            <w:r>
              <w:rPr>
                <w:rFonts w:ascii="Cambria" w:hAnsi="Cambria"/>
                <w:color w:val="1C1C1C"/>
                <w:sz w:val="19"/>
              </w:rPr>
              <w:t xml:space="preserve">1</w:t>
            </w:r>
          </w:p>
        </w:tc>
        <w:tc>
          <w:tcPr>
            <w:tcW w:w="500" w:type="dxa"/>
            <w:tcMar>
              <w:top w:w="60" w:type="dxa"/>
              <w:left w:w="90" w:type="dxa"/>
              <w:bottom w:w="60" w:type="dxa"/>
              <w:right w:w="90" w:type="dxa"/>
            </w:tcMar>
          </w:tcPr>
          <w:p>
            <w:pPr>
              <w:spacing w:after="0" w:line="264" w:lineRule="auto"/>
            </w:pPr>
            <w:r>
              <w:rPr>
                <w:rFonts w:ascii="Cambria" w:hAnsi="Cambria"/>
                <w:color w:val="1C1C1C"/>
                <w:sz w:val="19"/>
              </w:rPr>
              <w:t xml:space="preserve">1</w:t>
            </w:r>
          </w:p>
        </w:tc>
        <w:tc>
          <w:tcPr>
            <w:tcW w:w="500" w:type="dxa"/>
            <w:tcMar>
              <w:top w:w="60" w:type="dxa"/>
              <w:left w:w="90" w:type="dxa"/>
              <w:bottom w:w="60" w:type="dxa"/>
              <w:right w:w="90" w:type="dxa"/>
            </w:tcMar>
          </w:tcPr>
          <w:p>
            <w:pPr>
              <w:spacing w:after="0" w:line="264" w:lineRule="auto"/>
            </w:pPr>
            <w:r>
              <w:rPr>
                <w:rFonts w:ascii="Cambria" w:hAnsi="Cambria"/>
                <w:color w:val="1C1C1C"/>
                <w:sz w:val="19"/>
              </w:rPr>
              <w:t xml:space="preserve">2</w:t>
            </w:r>
          </w:p>
        </w:tc>
        <w:tc>
          <w:tcPr>
            <w:tcW w:w="900" w:type="dxa"/>
            <w:tcMar>
              <w:top w:w="60" w:type="dxa"/>
              <w:left w:w="90" w:type="dxa"/>
              <w:bottom w:w="60" w:type="dxa"/>
              <w:right w:w="90" w:type="dxa"/>
            </w:tcMar>
          </w:tcPr>
          <w:p>
            <w:pPr>
              <w:spacing w:after="0" w:line="264" w:lineRule="auto"/>
            </w:pPr>
            <w:r>
              <w:rPr>
                <w:rFonts w:ascii="Cambria" w:hAnsi="Cambria"/>
                <w:color w:val="1C1C1C"/>
                <w:sz w:val="19"/>
              </w:rPr>
              <w:t xml:space="preserve">7</w:t>
            </w:r>
          </w:p>
        </w:tc>
        <w:tc>
          <w:tcPr>
            <w:tcW w:w="2226" w:type="dxa"/>
            <w:tcMar>
              <w:top w:w="60" w:type="dxa"/>
              <w:left w:w="90" w:type="dxa"/>
              <w:bottom w:w="60" w:type="dxa"/>
              <w:right w:w="90" w:type="dxa"/>
            </w:tcMar>
          </w:tcPr>
          <w:p>
            <w:pPr>
              <w:spacing w:after="0" w:line="264" w:lineRule="auto"/>
            </w:pPr>
            <w:r>
              <w:rPr>
                <w:rFonts w:ascii="Cambria" w:hAnsi="Cambria"/>
                <w:color w:val="1C1C1C"/>
                <w:sz w:val="19"/>
              </w:rPr>
              <w:t xml:space="preserve">5 bis 8</w:t>
            </w:r>
          </w:p>
        </w:tc>
      </w:tr>
      <w:tr>
        <w:trPr>
          <w:cantSplit/>
        </w:trPr>
        <w:tc>
          <w:tcPr>
            <w:tcW w:w="2700" w:type="dxa"/>
            <w:shd w:val="clear" w:color="auto" w:fill="F1F4EC"/>
            <w:tcMar>
              <w:top w:w="60" w:type="dxa"/>
              <w:left w:w="90" w:type="dxa"/>
              <w:bottom w:w="60" w:type="dxa"/>
              <w:right w:w="90" w:type="dxa"/>
            </w:tcMar>
          </w:tcPr>
          <w:p>
            <w:pPr>
              <w:spacing w:after="0" w:line="264" w:lineRule="auto"/>
            </w:pPr>
            <w:r>
              <w:rPr>
                <w:rFonts w:ascii="Cambria" w:hAnsi="Cambria"/>
                <w:b/>
                <w:color w:val="1C1C1C"/>
                <w:sz w:val="19"/>
              </w:rPr>
              <w:t xml:space="preserve">B  Die Abkühlung meines Kaffees</w:t>
            </w:r>
          </w:p>
        </w:tc>
        <w:tc>
          <w:tcPr>
            <w:tcW w:w="7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SL</w:t>
            </w:r>
          </w:p>
        </w:tc>
        <w:tc>
          <w:tcPr>
            <w:tcW w:w="5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3</w:t>
            </w:r>
          </w:p>
        </w:tc>
        <w:tc>
          <w:tcPr>
            <w:tcW w:w="5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2</w:t>
            </w:r>
          </w:p>
        </w:tc>
        <w:tc>
          <w:tcPr>
            <w:tcW w:w="5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2</w:t>
            </w:r>
          </w:p>
        </w:tc>
        <w:tc>
          <w:tcPr>
            <w:tcW w:w="5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2</w:t>
            </w:r>
          </w:p>
        </w:tc>
        <w:tc>
          <w:tcPr>
            <w:tcW w:w="5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3</w:t>
            </w:r>
          </w:p>
        </w:tc>
        <w:tc>
          <w:tcPr>
            <w:tcW w:w="9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12</w:t>
            </w:r>
          </w:p>
        </w:tc>
        <w:tc>
          <w:tcPr>
            <w:tcW w:w="2226"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11 bis 14</w:t>
            </w:r>
          </w:p>
        </w:tc>
      </w:tr>
      <w:tr>
        <w:trPr>
          <w:cantSplit/>
        </w:trPr>
        <w:tc>
          <w:tcPr>
            <w:tcW w:w="2700" w:type="dxa"/>
            <w:tcMar>
              <w:top w:w="60" w:type="dxa"/>
              <w:left w:w="90" w:type="dxa"/>
              <w:bottom w:w="60" w:type="dxa"/>
              <w:right w:w="90" w:type="dxa"/>
            </w:tcMar>
          </w:tcPr>
          <w:p>
            <w:pPr>
              <w:spacing w:after="0" w:line="264" w:lineRule="auto"/>
            </w:pPr>
            <w:r>
              <w:rPr>
                <w:rFonts w:ascii="Cambria" w:hAnsi="Cambria"/>
                <w:b/>
                <w:color w:val="1C1C1C"/>
                <w:sz w:val="19"/>
              </w:rPr>
              <w:t xml:space="preserve">C  Der schnellste Weg zum Bus</w:t>
            </w:r>
          </w:p>
        </w:tc>
        <w:tc>
          <w:tcPr>
            <w:tcW w:w="700" w:type="dxa"/>
            <w:tcMar>
              <w:top w:w="60" w:type="dxa"/>
              <w:left w:w="90" w:type="dxa"/>
              <w:bottom w:w="60" w:type="dxa"/>
              <w:right w:w="90" w:type="dxa"/>
            </w:tcMar>
          </w:tcPr>
          <w:p>
            <w:pPr>
              <w:spacing w:after="0" w:line="264" w:lineRule="auto"/>
            </w:pPr>
            <w:r>
              <w:rPr>
                <w:rFonts w:ascii="Cambria" w:hAnsi="Cambria"/>
                <w:color w:val="1C1C1C"/>
                <w:sz w:val="19"/>
              </w:rPr>
              <w:t xml:space="preserve">HL</w:t>
            </w:r>
          </w:p>
        </w:tc>
        <w:tc>
          <w:tcPr>
            <w:tcW w:w="500" w:type="dxa"/>
            <w:tcMar>
              <w:top w:w="60" w:type="dxa"/>
              <w:left w:w="90" w:type="dxa"/>
              <w:bottom w:w="60" w:type="dxa"/>
              <w:right w:w="90" w:type="dxa"/>
            </w:tcMar>
          </w:tcPr>
          <w:p>
            <w:pPr>
              <w:spacing w:after="0" w:line="264" w:lineRule="auto"/>
            </w:pPr>
            <w:r>
              <w:rPr>
                <w:rFonts w:ascii="Cambria" w:hAnsi="Cambria"/>
                <w:color w:val="1C1C1C"/>
                <w:sz w:val="19"/>
              </w:rPr>
              <w:t xml:space="preserve">4</w:t>
            </w:r>
          </w:p>
        </w:tc>
        <w:tc>
          <w:tcPr>
            <w:tcW w:w="500" w:type="dxa"/>
            <w:tcMar>
              <w:top w:w="60" w:type="dxa"/>
              <w:left w:w="90" w:type="dxa"/>
              <w:bottom w:w="60" w:type="dxa"/>
              <w:right w:w="90" w:type="dxa"/>
            </w:tcMar>
          </w:tcPr>
          <w:p>
            <w:pPr>
              <w:spacing w:after="0" w:line="264" w:lineRule="auto"/>
            </w:pPr>
            <w:r>
              <w:rPr>
                <w:rFonts w:ascii="Cambria" w:hAnsi="Cambria"/>
                <w:color w:val="1C1C1C"/>
                <w:sz w:val="19"/>
              </w:rPr>
              <w:t xml:space="preserve">4</w:t>
            </w:r>
          </w:p>
        </w:tc>
        <w:tc>
          <w:tcPr>
            <w:tcW w:w="500" w:type="dxa"/>
            <w:tcMar>
              <w:top w:w="60" w:type="dxa"/>
              <w:left w:w="90" w:type="dxa"/>
              <w:bottom w:w="60" w:type="dxa"/>
              <w:right w:w="90" w:type="dxa"/>
            </w:tcMar>
          </w:tcPr>
          <w:p>
            <w:pPr>
              <w:spacing w:after="0" w:line="264" w:lineRule="auto"/>
            </w:pPr>
            <w:r>
              <w:rPr>
                <w:rFonts w:ascii="Cambria" w:hAnsi="Cambria"/>
                <w:color w:val="1C1C1C"/>
                <w:sz w:val="19"/>
              </w:rPr>
              <w:t xml:space="preserve">3</w:t>
            </w:r>
          </w:p>
        </w:tc>
        <w:tc>
          <w:tcPr>
            <w:tcW w:w="500" w:type="dxa"/>
            <w:tcMar>
              <w:top w:w="60" w:type="dxa"/>
              <w:left w:w="90" w:type="dxa"/>
              <w:bottom w:w="60" w:type="dxa"/>
              <w:right w:w="90" w:type="dxa"/>
            </w:tcMar>
          </w:tcPr>
          <w:p>
            <w:pPr>
              <w:spacing w:after="0" w:line="264" w:lineRule="auto"/>
            </w:pPr>
            <w:r>
              <w:rPr>
                <w:rFonts w:ascii="Cambria" w:hAnsi="Cambria"/>
                <w:color w:val="1C1C1C"/>
                <w:sz w:val="19"/>
              </w:rPr>
              <w:t xml:space="preserve">2</w:t>
            </w:r>
          </w:p>
        </w:tc>
        <w:tc>
          <w:tcPr>
            <w:tcW w:w="500" w:type="dxa"/>
            <w:tcMar>
              <w:top w:w="60" w:type="dxa"/>
              <w:left w:w="90" w:type="dxa"/>
              <w:bottom w:w="60" w:type="dxa"/>
              <w:right w:w="90" w:type="dxa"/>
            </w:tcMar>
          </w:tcPr>
          <w:p>
            <w:pPr>
              <w:spacing w:after="0" w:line="264" w:lineRule="auto"/>
            </w:pPr>
            <w:r>
              <w:rPr>
                <w:rFonts w:ascii="Cambria" w:hAnsi="Cambria"/>
                <w:color w:val="1C1C1C"/>
                <w:sz w:val="19"/>
              </w:rPr>
              <w:t xml:space="preserve">5</w:t>
            </w:r>
          </w:p>
        </w:tc>
        <w:tc>
          <w:tcPr>
            <w:tcW w:w="900" w:type="dxa"/>
            <w:tcMar>
              <w:top w:w="60" w:type="dxa"/>
              <w:left w:w="90" w:type="dxa"/>
              <w:bottom w:w="60" w:type="dxa"/>
              <w:right w:w="90" w:type="dxa"/>
            </w:tcMar>
          </w:tcPr>
          <w:p>
            <w:pPr>
              <w:spacing w:after="0" w:line="264" w:lineRule="auto"/>
            </w:pPr>
            <w:r>
              <w:rPr>
                <w:rFonts w:ascii="Cambria" w:hAnsi="Cambria"/>
                <w:color w:val="1C1C1C"/>
                <w:sz w:val="19"/>
              </w:rPr>
              <w:t xml:space="preserve">18</w:t>
            </w:r>
          </w:p>
        </w:tc>
        <w:tc>
          <w:tcPr>
            <w:tcW w:w="2226" w:type="dxa"/>
            <w:tcMar>
              <w:top w:w="60" w:type="dxa"/>
              <w:left w:w="90" w:type="dxa"/>
              <w:bottom w:w="60" w:type="dxa"/>
              <w:right w:w="90" w:type="dxa"/>
            </w:tcMar>
          </w:tcPr>
          <w:p>
            <w:pPr>
              <w:spacing w:after="0" w:line="264" w:lineRule="auto"/>
            </w:pPr>
            <w:r>
              <w:rPr>
                <w:rFonts w:ascii="Cambria" w:hAnsi="Cambria"/>
                <w:color w:val="1C1C1C"/>
                <w:sz w:val="19"/>
              </w:rPr>
              <w:t xml:space="preserve">17 bis 19</w:t>
            </w:r>
          </w:p>
        </w:tc>
      </w:tr>
    </w:tbl>
    <w:p>
      <w:pPr>
        <w:spacing w:after="120" w:line="288" w:lineRule="auto"/>
      </w:pP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1F4EC"/>
            <w:tcBorders>
              <w:left w:val="single" w:sz="26" w:space="0" w:color="8FB840"/>
            </w:tcBorders>
            <w:tcMar>
              <w:top w:w="150" w:type="dxa"/>
              <w:left w:w="220" w:type="dxa"/>
              <w:bottom w:w="150" w:type="dxa"/>
              <w:right w:w="200" w:type="dxa"/>
            </w:tcMar>
          </w:tcPr>
          <w:p>
            <w:pPr>
              <w:spacing w:after="80" w:line="288" w:lineRule="auto"/>
            </w:pPr>
            <w:r>
              <w:rPr>
                <w:rFonts w:ascii="Calibri" w:hAnsi="Calibri"/>
                <w:b/>
                <w:color w:val="0F3D2A"/>
                <w:sz w:val="22"/>
              </w:rPr>
              <w:t xml:space="preserve">Die drei Regeln, die in Doppelstunde 5 vermittelt werden</w:t>
            </w:r>
          </w:p>
          <w:p>
            <w:pPr>
              <w:spacing w:after="60" w:line="288" w:lineRule="auto"/>
            </w:pPr>
            <w:r>
              <w:rPr>
                <w:rFonts w:ascii="Cambria" w:hAnsi="Cambria"/>
                <w:color w:val="1C1C1C"/>
                <w:sz w:val="20"/>
              </w:rPr>
              <w:t xml:space="preserve">1.  Von unten aufsteigend lesen, bis ein Deskriptor nicht mehr zutrifft. Die letzte zutreffende Ebene gilt.</w:t>
            </w:r>
          </w:p>
          <w:p>
            <w:pPr>
              <w:spacing w:after="60" w:line="288" w:lineRule="auto"/>
            </w:pPr>
            <w:r>
              <w:rPr>
                <w:rFonts w:ascii="Cambria" w:hAnsi="Cambria"/>
                <w:color w:val="1C1C1C"/>
                <w:sz w:val="20"/>
              </w:rPr>
              <w:t xml:space="preserve">2.  Best fit statt Häkchenliste: Der Deskriptor muss insgesamt passen, nicht in jedem Wort.</w:t>
            </w:r>
          </w:p>
          <w:p>
            <w:pPr>
              <w:spacing w:after="60" w:line="288" w:lineRule="auto"/>
            </w:pPr>
            <w:r>
              <w:rPr>
                <w:rFonts w:ascii="Cambria" w:hAnsi="Cambria"/>
                <w:color w:val="1C1C1C"/>
                <w:sz w:val="20"/>
              </w:rPr>
              <w:t xml:space="preserve">3.  Jedes Urteil braucht einen Beleg mit Seitenzahl. Ohne Beleg keine Punktzahl.</w:t>
            </w:r>
          </w:p>
        </w:tc>
      </w:tr>
    </w:tbl>
    <w:p>
      <w:pPr>
        <w:spacing w:after="120" w:line="288" w:lineRule="auto"/>
      </w:pPr>
    </w:p>
    <w:p>
      <w:pPr>
        <w:pStyle w:val="KPFließtext"/>
        <w:spacing w:line="288" w:lineRule="auto"/>
      </w:pPr>
      <w:r>
        <w:rPr>
          <w:rFonts w:ascii="Cambria" w:hAnsi="Cambria"/>
          <w:color w:val="1C1C1C"/>
          <w:sz w:val="22"/>
        </w:rPr>
        <w:t xml:space="preserve">Die Lehrerhandreichungen der IB verlangen im Übrigen, dass die endgültige Arbeit mit Anmerkungen versehen wird, die zeigen, wo und warum eine bestimmte Ebene zuerkannt wurde. Ohne diese Anmerkungen kann der Moderator die Punktzahl schwerer bestätigen. Die Belegspalte in M 11 ist genau dafür die Übung.</w:t>
      </w:r>
    </w:p>
    <w:p>
      <w:r>
        <w:br w:type="page"/>
      </w:r>
    </w:p>
    <w:p>
      <w:pPr>
        <w:pStyle w:val="KPKapitel"/>
        <w:spacing w:line="288" w:lineRule="auto"/>
      </w:pPr>
      <w:r>
        <w:rPr>
          <w:rFonts w:ascii="Calibri" w:hAnsi="Calibri"/>
          <w:b/>
          <w:color w:val="0F3D2A"/>
          <w:sz w:val="32"/>
        </w:rPr>
        <w:t xml:space="preserve">Muster A – Der Goldene Schnitt</w:t>
      </w:r>
    </w:p>
    <w:p>
      <w:pPr>
        <w:pStyle w:val="KPKlein"/>
        <w:spacing w:line="288" w:lineRule="auto"/>
      </w:pPr>
      <w:r>
        <w:rPr>
          <w:rFonts w:ascii="Calibri" w:hAnsi="Calibri"/>
          <w:color w:val="5E5E5E"/>
          <w:sz w:val="18"/>
        </w:rPr>
        <w:t xml:space="preserve">Standard Level  ·  7 von 20 Punkten</w:t>
      </w:r>
    </w:p>
    <w:p>
      <w:pPr>
        <w:pStyle w:val="KPAbschnitt"/>
        <w:spacing w:line="288" w:lineRule="auto"/>
      </w:pPr>
      <w:r>
        <w:rPr>
          <w:rFonts w:ascii="Calibri" w:hAnsi="Calibri"/>
          <w:b/>
          <w:color w:val="8FB840"/>
          <w:sz w:val="24"/>
        </w:rPr>
        <w:t xml:space="preserve">Ebene 2 von 4   </w:t>
      </w:r>
      <w:r>
        <w:rPr>
          <w:rFonts w:ascii="Calibri" w:hAnsi="Calibri"/>
          <w:b/>
          <w:color w:val="0F3D2A"/>
          <w:sz w:val="24"/>
        </w:rPr>
        <w:t xml:space="preserve">Kriterium A: Präsentation</w:t>
      </w:r>
    </w:p>
    <w:p>
      <w:pPr>
        <w:pStyle w:val="KPFließtext"/>
        <w:spacing w:line="288" w:lineRule="auto"/>
      </w:pPr>
      <w:r>
        <w:rPr>
          <w:rFonts w:ascii="Calibri" w:hAnsi="Calibri"/>
          <w:b/>
          <w:color w:val="0F3D2A"/>
          <w:sz w:val="19"/>
        </w:rPr>
        <w:t xml:space="preserve">Warum diese Ebene   </w:t>
      </w:r>
      <w:r>
        <w:rPr>
          <w:rFonts w:ascii="Cambria" w:hAnsi="Cambria"/>
          <w:color w:val="1C1C1C"/>
          <w:sz w:val="21"/>
        </w:rPr>
        <w:t xml:space="preserve">Es gibt eine Gliederung: nummerierte Abschnitte, eine Einleitung, ein Fazit, ein Quellenverzeichnis. Die Abbildungen stehen im Text. Insoweit sind Ansätze einer Gliederung klar vorhanden, und Abschnitt 2 und 3 hängen inhaltlich zusammen.</w:t>
      </w:r>
    </w:p>
    <w:p>
      <w:pPr>
        <w:pStyle w:val="KPFließtext"/>
        <w:spacing w:line="288" w:lineRule="auto"/>
      </w:pPr>
      <w:r>
        <w:rPr>
          <w:rFonts w:ascii="Calibri" w:hAnsi="Calibri"/>
          <w:b/>
          <w:color w:val="E2725B"/>
          <w:sz w:val="19"/>
        </w:rPr>
        <w:t xml:space="preserve">Warum nicht höher   </w:t>
      </w:r>
      <w:r>
        <w:rPr>
          <w:rFonts w:ascii="Cambria" w:hAnsi="Cambria"/>
          <w:color w:val="1C1C1C"/>
          <w:sz w:val="21"/>
        </w:rPr>
        <w:t xml:space="preserve">„Stimmig“ verlangt, dass die Arbeit ihr Ziel erfüllt – sie nennt aber gar kein Ziel. Die Einleitung kündigt an, was vorgestellt wird, nicht was untersucht wird. Abschnitt 4 (Natur und Kunst) steht unverbunden neben Abschnitt 2 und 3; das Fazit fasst zusammen, ohne etwas zu beantworten. Damit ist die Arbeit nur teilweise stimmig – Ebene 2, nicht 3.</w:t>
      </w:r>
    </w:p>
    <w:p>
      <w:pPr>
        <w:pStyle w:val="KPAbschnitt"/>
        <w:spacing w:line="288" w:lineRule="auto"/>
      </w:pPr>
      <w:r>
        <w:rPr>
          <w:rFonts w:ascii="Calibri" w:hAnsi="Calibri"/>
          <w:b/>
          <w:color w:val="8FB840"/>
          <w:sz w:val="24"/>
        </w:rPr>
        <w:t xml:space="preserve">Ebene 1 von 4   </w:t>
      </w:r>
      <w:r>
        <w:rPr>
          <w:rFonts w:ascii="Calibri" w:hAnsi="Calibri"/>
          <w:b/>
          <w:color w:val="0F3D2A"/>
          <w:sz w:val="24"/>
        </w:rPr>
        <w:t xml:space="preserve">Kriterium B: Mathematische Kommunikation</w:t>
      </w:r>
    </w:p>
    <w:p>
      <w:pPr>
        <w:pStyle w:val="KPFließtext"/>
        <w:spacing w:line="288" w:lineRule="auto"/>
      </w:pPr>
      <w:r>
        <w:rPr>
          <w:rFonts w:ascii="Calibri" w:hAnsi="Calibri"/>
          <w:b/>
          <w:color w:val="0F3D2A"/>
          <w:sz w:val="19"/>
        </w:rPr>
        <w:t xml:space="preserve">Warum diese Ebene   </w:t>
      </w:r>
      <w:r>
        <w:rPr>
          <w:rFonts w:ascii="Cambria" w:hAnsi="Cambria"/>
          <w:color w:val="1C1C1C"/>
          <w:sz w:val="21"/>
        </w:rPr>
        <w:t xml:space="preserve">Es gibt mathematische Kommunikation: eine Herleitung, eine Tabelle, ein Diagramm, eine Formel.</w:t>
      </w:r>
    </w:p>
    <w:p>
      <w:pPr>
        <w:pStyle w:val="KPFließtext"/>
        <w:spacing w:line="288" w:lineRule="auto"/>
      </w:pPr>
      <w:r>
        <w:rPr>
          <w:rFonts w:ascii="Calibri" w:hAnsi="Calibri"/>
          <w:b/>
          <w:color w:val="E2725B"/>
          <w:sz w:val="19"/>
        </w:rPr>
        <w:t xml:space="preserve">Warum nicht höher   </w:t>
      </w:r>
      <w:r>
        <w:rPr>
          <w:rFonts w:ascii="Cambria" w:hAnsi="Cambria"/>
          <w:color w:val="1C1C1C"/>
          <w:sz w:val="21"/>
        </w:rPr>
        <w:t xml:space="preserve">Das Handbuch nennt für Ebene 1 zwei Beispiele, und beide liegen hier vor. Erstens: durchgehender Gebrauch von Computerschreibweise – „x^2“, „sqrt(5)“, „Phi^n“, „(1-Phi)^n“ im ganzen Text, ohne dass es eine softwareerzeugte Ausgabe wäre. Zweitens: eine unbeschriftete Abbildung, deren Unterschrift nur „Abbildung“ lautet. Dazu: 1.618033988749895 mit fünfzehn Stellen ohne jede Bemerkung zur Genauigkeit; a und b werden genannt, aber nie einer Figur zugeordnet. Und die Unterschrift „Die goldene Spirale“ ist sachlich falsch: Gezeichnet ist die aus Fibonacci-Quadraten zusammengesetzte Näherung aus Viertelkreisen, nicht die logarithmische Spirale mit dem Wachstumsfaktor φ. Die beiden sind sich ähnlich, aber nicht dasselbe – ein Beschriftungsfehler, den eine gute Gruppe findet.</w:t>
      </w:r>
    </w:p>
    <w:p>
      <w:pPr>
        <w:pStyle w:val="KPAbschnitt"/>
        <w:spacing w:line="288" w:lineRule="auto"/>
      </w:pPr>
      <w:r>
        <w:rPr>
          <w:rFonts w:ascii="Calibri" w:hAnsi="Calibri"/>
          <w:b/>
          <w:color w:val="8FB840"/>
          <w:sz w:val="24"/>
        </w:rPr>
        <w:t xml:space="preserve">Ebene 1 von 3   </w:t>
      </w:r>
      <w:r>
        <w:rPr>
          <w:rFonts w:ascii="Calibri" w:hAnsi="Calibri"/>
          <w:b/>
          <w:color w:val="0F3D2A"/>
          <w:sz w:val="24"/>
        </w:rPr>
        <w:t xml:space="preserve">Kriterium C: Persönlicher Einsatz</w:t>
      </w:r>
    </w:p>
    <w:p>
      <w:pPr>
        <w:pStyle w:val="KPFließtext"/>
        <w:spacing w:line="288" w:lineRule="auto"/>
      </w:pPr>
      <w:r>
        <w:rPr>
          <w:rFonts w:ascii="Calibri" w:hAnsi="Calibri"/>
          <w:b/>
          <w:color w:val="0F3D2A"/>
          <w:sz w:val="19"/>
        </w:rPr>
        <w:t xml:space="preserve">Warum diese Ebene   </w:t>
      </w:r>
      <w:r>
        <w:rPr>
          <w:rFonts w:ascii="Cambria" w:hAnsi="Cambria"/>
          <w:color w:val="1C1C1C"/>
          <w:sz w:val="21"/>
        </w:rPr>
        <w:t xml:space="preserve">„Ich habe dieses Thema gewählt, weil ich es sehr interessant finde“ und die Auswahl der Beispiele in Abschnitt 4 sind ein Mindestmaß an eigenem Zugriff.</w:t>
      </w:r>
    </w:p>
    <w:p>
      <w:pPr>
        <w:pStyle w:val="KPFließtext"/>
        <w:spacing w:line="288" w:lineRule="auto"/>
      </w:pPr>
      <w:r>
        <w:rPr>
          <w:rFonts w:ascii="Calibri" w:hAnsi="Calibri"/>
          <w:b/>
          <w:color w:val="E2725B"/>
          <w:sz w:val="19"/>
        </w:rPr>
        <w:t xml:space="preserve">Warum nicht höher   </w:t>
      </w:r>
      <w:r>
        <w:rPr>
          <w:rFonts w:ascii="Cambria" w:hAnsi="Cambria"/>
          <w:color w:val="1C1C1C"/>
          <w:sz w:val="21"/>
        </w:rPr>
        <w:t xml:space="preserve">Alles in der Arbeit ist leicht verfügbare Mathematik im Schulbuchstil, ohne eigene Sichtweise – genau das, was das Handbuch als „wahrscheinlich kein hohes Leistungsniveau“ bezeichnet. Der Satz im Fazit, es sei viel Zeit investiert worden, zählt ausdrücklich nicht: Persönlicher Einsatz ist kein Maß für Anstrengung.</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Strittig</w:t>
            </w:r>
          </w:p>
          <w:p>
            <w:pPr>
              <w:spacing w:after="60" w:line="288" w:lineRule="auto"/>
            </w:pPr>
            <w:r>
              <w:rPr>
                <w:rFonts w:ascii="Cambria" w:hAnsi="Cambria"/>
                <w:color w:val="1C1C1C"/>
                <w:sz w:val="20"/>
              </w:rPr>
              <w:t xml:space="preserve">Für Ebene 0 lässt sich argumentieren: Die einzige persönliche Äußerung ist eine Behauptung von Interesse. Wer so bewertet, hat den Deskriptor richtig gelesen. Ich gebe 1, weil die Auswahl der Beispiele eine, wenn auch schwache, eigene Entscheidung ist.</w:t>
            </w:r>
          </w:p>
        </w:tc>
      </w:tr>
    </w:tbl>
    <w:p>
      <w:pPr>
        <w:spacing w:after="120" w:line="288" w:lineRule="auto"/>
      </w:pPr>
    </w:p>
    <w:p>
      <w:pPr>
        <w:pStyle w:val="KPAbschnitt"/>
        <w:spacing w:line="288" w:lineRule="auto"/>
      </w:pPr>
      <w:r>
        <w:rPr>
          <w:rFonts w:ascii="Calibri" w:hAnsi="Calibri"/>
          <w:b/>
          <w:color w:val="8FB840"/>
          <w:sz w:val="24"/>
        </w:rPr>
        <w:t xml:space="preserve">Ebene 1 von 3   </w:t>
      </w:r>
      <w:r>
        <w:rPr>
          <w:rFonts w:ascii="Calibri" w:hAnsi="Calibri"/>
          <w:b/>
          <w:color w:val="0F3D2A"/>
          <w:sz w:val="24"/>
        </w:rPr>
        <w:t xml:space="preserve">Kriterium D: Reflexion</w:t>
      </w:r>
    </w:p>
    <w:p>
      <w:pPr>
        <w:pStyle w:val="KPFließtext"/>
        <w:spacing w:line="288" w:lineRule="auto"/>
      </w:pPr>
      <w:r>
        <w:rPr>
          <w:rFonts w:ascii="Calibri" w:hAnsi="Calibri"/>
          <w:b/>
          <w:color w:val="0F3D2A"/>
          <w:sz w:val="19"/>
        </w:rPr>
        <w:t xml:space="preserve">Warum diese Ebene   </w:t>
      </w:r>
      <w:r>
        <w:rPr>
          <w:rFonts w:ascii="Cambria" w:hAnsi="Cambria"/>
          <w:color w:val="1C1C1C"/>
          <w:sz w:val="21"/>
        </w:rPr>
        <w:t xml:space="preserve">Das Fazit fasst zusammen, was gezeigt wurde, und äußert sich zum Erkenntnisgewinn („dass eine einzige Zahl in so vielen Bereichen auftaucht“). Das ist eine Beschreibung von Ergebnissen – und damit eingeschränkte Reflexion.</w:t>
      </w:r>
    </w:p>
    <w:p>
      <w:pPr>
        <w:pStyle w:val="KPFließtext"/>
        <w:spacing w:line="288" w:lineRule="auto"/>
      </w:pPr>
      <w:r>
        <w:rPr>
          <w:rFonts w:ascii="Calibri" w:hAnsi="Calibri"/>
          <w:b/>
          <w:color w:val="E2725B"/>
          <w:sz w:val="19"/>
        </w:rPr>
        <w:t xml:space="preserve">Warum nicht höher   </w:t>
      </w:r>
      <w:r>
        <w:rPr>
          <w:rFonts w:ascii="Cambria" w:hAnsi="Cambria"/>
          <w:color w:val="1C1C1C"/>
          <w:sz w:val="21"/>
        </w:rPr>
        <w:t xml:space="preserve">Es fehlt jede Auseinandersetzung mit Grenzen, mit Alternativen, mit dem Wert des Ergebnisses. Die Behauptungen über Parthenon und Mona Lisa werden nicht geprüft, obwohl genau dort die interessante Frage läge. Für Ebene 2 müsste mindestens eine Einschränkung diskutiert oder zwei Zugänge verglichen werden.</w:t>
      </w:r>
    </w:p>
    <w:p>
      <w:pPr>
        <w:pStyle w:val="KPAbschnitt"/>
        <w:spacing w:line="288" w:lineRule="auto"/>
      </w:pPr>
      <w:r>
        <w:rPr>
          <w:rFonts w:ascii="Calibri" w:hAnsi="Calibri"/>
          <w:b/>
          <w:color w:val="8FB840"/>
          <w:sz w:val="24"/>
        </w:rPr>
        <w:t xml:space="preserve">Ebene 2 von 6   </w:t>
      </w:r>
      <w:r>
        <w:rPr>
          <w:rFonts w:ascii="Calibri" w:hAnsi="Calibri"/>
          <w:b/>
          <w:color w:val="0F3D2A"/>
          <w:sz w:val="24"/>
        </w:rPr>
        <w:t xml:space="preserve">Kriterium E: Nutzung der Mathematik</w:t>
      </w:r>
    </w:p>
    <w:p>
      <w:pPr>
        <w:pStyle w:val="KPFließtext"/>
        <w:spacing w:line="288" w:lineRule="auto"/>
      </w:pPr>
      <w:r>
        <w:rPr>
          <w:rFonts w:ascii="Calibri" w:hAnsi="Calibri"/>
          <w:b/>
          <w:color w:val="0F3D2A"/>
          <w:sz w:val="19"/>
        </w:rPr>
        <w:t xml:space="preserve">Warum diese Ebene   </w:t>
      </w:r>
      <w:r>
        <w:rPr>
          <w:rFonts w:ascii="Cambria" w:hAnsi="Cambria"/>
          <w:color w:val="1C1C1C"/>
          <w:sz w:val="21"/>
        </w:rPr>
        <w:t xml:space="preserve">Die Herleitung von φ aus x² − x − 1 = 0 ist korrekt und gehört zum Lehrplan (quadratische Gleichungen). Die Quotiententabelle ist richtig gerechnet. Ein begrenztes Verständnis wird also demonstriert.</w:t>
      </w:r>
    </w:p>
    <w:p>
      <w:pPr>
        <w:pStyle w:val="KPFließtext"/>
        <w:spacing w:line="288" w:lineRule="auto"/>
      </w:pPr>
      <w:r>
        <w:rPr>
          <w:rFonts w:ascii="Calibri" w:hAnsi="Calibri"/>
          <w:b/>
          <w:color w:val="E2725B"/>
          <w:sz w:val="19"/>
        </w:rPr>
        <w:t xml:space="preserve">Warum nicht höher   </w:t>
      </w:r>
      <w:r>
        <w:rPr>
          <w:rFonts w:ascii="Cambria" w:hAnsi="Cambria"/>
          <w:color w:val="1C1C1C"/>
          <w:sz w:val="21"/>
        </w:rPr>
        <w:t xml:space="preserve">Für Ebene 3 müsste die Mathematik „passend zum Niveau des Kurses“ sein. Eine einzelne quadratische Gleichung liegt an der Grenze zu den notwendigen Vorkenntnissen; das Handbuch sagt ausdrücklich, dass eine Arbeit nicht ausschließlich darauf beruhen soll. Die Formel von Binet wird hingeschrieben, aber weder hergeleitet noch benutzt – sie demonstriert kein Verständnis. Die Konvergenz der Quotienten wird behauptet („man sieht“), nicht gezeigt. Und: Die Angabe der korrekten Antwort reicht laut Handbuch nicht aus, um Verständnis zu demonstrieren.</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1F4EC"/>
            <w:tcBorders>
              <w:left w:val="single" w:sz="26" w:space="0" w:color="8FB840"/>
            </w:tcBorders>
            <w:tcMar>
              <w:top w:w="150" w:type="dxa"/>
              <w:left w:w="220" w:type="dxa"/>
              <w:bottom w:w="150" w:type="dxa"/>
              <w:right w:w="200" w:type="dxa"/>
            </w:tcMar>
          </w:tcPr>
          <w:p>
            <w:pPr>
              <w:spacing w:after="80" w:line="288" w:lineRule="auto"/>
            </w:pPr>
            <w:r>
              <w:rPr>
                <w:rFonts w:ascii="Calibri" w:hAnsi="Calibri"/>
                <w:b/>
                <w:color w:val="0F3D2A"/>
                <w:sz w:val="22"/>
              </w:rPr>
              <w:t xml:space="preserve">Gesamturteil</w:t>
            </w:r>
          </w:p>
          <w:p>
            <w:pPr>
              <w:spacing w:after="60" w:line="288" w:lineRule="auto"/>
            </w:pPr>
            <w:r>
              <w:rPr>
                <w:rFonts w:ascii="Cambria" w:hAnsi="Cambria"/>
                <w:color w:val="1C1C1C"/>
                <w:sz w:val="20"/>
              </w:rPr>
              <w:t xml:space="preserve">Eine Arbeit, die alle Merkmale eines Referats trägt: ein Thema statt einer Frage, referierte statt eigener Mathematik, unbelegte Behauptungen aus der Populärliteratur. Die Lehrerhandreichungen sagen dazu knapp: Rein deskriptive historische Themen sind nicht geeignet. Genau diese Arbeit ist der Grund, warum die Themenwerkstatt in Doppelstunde 4 vor der Themenfestlegung liegt.</w:t>
            </w:r>
          </w:p>
        </w:tc>
      </w:tr>
    </w:tbl>
    <w:p>
      <w:pPr>
        <w:spacing w:after="120" w:line="288" w:lineRule="auto"/>
      </w:pPr>
    </w:p>
    <w:p>
      <w:r>
        <w:br w:type="page"/>
      </w:r>
    </w:p>
    <w:p>
      <w:pPr>
        <w:pStyle w:val="KPKapitel"/>
        <w:spacing w:line="288" w:lineRule="auto"/>
      </w:pPr>
      <w:r>
        <w:rPr>
          <w:rFonts w:ascii="Calibri" w:hAnsi="Calibri"/>
          <w:b/>
          <w:color w:val="0F3D2A"/>
          <w:sz w:val="32"/>
        </w:rPr>
        <w:t xml:space="preserve">Muster B – Wie schnell kühlt mein Kaffee ab?</w:t>
      </w:r>
    </w:p>
    <w:p>
      <w:pPr>
        <w:pStyle w:val="KPKlein"/>
        <w:spacing w:line="288" w:lineRule="auto"/>
      </w:pPr>
      <w:r>
        <w:rPr>
          <w:rFonts w:ascii="Calibri" w:hAnsi="Calibri"/>
          <w:color w:val="5E5E5E"/>
          <w:sz w:val="18"/>
        </w:rPr>
        <w:t xml:space="preserve">Standard Level  ·  12 von 20 Punkten</w:t>
      </w:r>
    </w:p>
    <w:p>
      <w:pPr>
        <w:pStyle w:val="KPAbschnitt"/>
        <w:spacing w:line="288" w:lineRule="auto"/>
      </w:pPr>
      <w:r>
        <w:rPr>
          <w:rFonts w:ascii="Calibri" w:hAnsi="Calibri"/>
          <w:b/>
          <w:color w:val="8FB840"/>
          <w:sz w:val="24"/>
        </w:rPr>
        <w:t xml:space="preserve">Ebene 3 von 4   </w:t>
      </w:r>
      <w:r>
        <w:rPr>
          <w:rFonts w:ascii="Calibri" w:hAnsi="Calibri"/>
          <w:b/>
          <w:color w:val="0F3D2A"/>
          <w:sz w:val="24"/>
        </w:rPr>
        <w:t xml:space="preserve">Kriterium A: Präsentation</w:t>
      </w:r>
    </w:p>
    <w:p>
      <w:pPr>
        <w:pStyle w:val="KPFließtext"/>
        <w:spacing w:line="288" w:lineRule="auto"/>
      </w:pPr>
      <w:r>
        <w:rPr>
          <w:rFonts w:ascii="Calibri" w:hAnsi="Calibri"/>
          <w:b/>
          <w:color w:val="0F3D2A"/>
          <w:sz w:val="19"/>
        </w:rPr>
        <w:t xml:space="preserve">Warum diese Ebene   </w:t>
      </w:r>
      <w:r>
        <w:rPr>
          <w:rFonts w:ascii="Cambria" w:hAnsi="Cambria"/>
          <w:color w:val="1C1C1C"/>
          <w:sz w:val="21"/>
        </w:rPr>
        <w:t xml:space="preserve">Die Arbeit ist stimmig: Die Einleitung nennt die Frage, jeder Abschnitt bringt sie weiter, Abschnitt 6 beantwortet sie, das Fazit greift sie auf. Sie ist gut gegliedert: Einführung vorhanden, Ziel benannt, Schluss vorhanden, beide Abbildungen und beide Tabellen stehen an der passenden Stelle im Text.</w:t>
      </w:r>
    </w:p>
    <w:p>
      <w:pPr>
        <w:pStyle w:val="KPFließtext"/>
        <w:spacing w:line="288" w:lineRule="auto"/>
      </w:pPr>
      <w:r>
        <w:rPr>
          <w:rFonts w:ascii="Calibri" w:hAnsi="Calibri"/>
          <w:b/>
          <w:color w:val="E2725B"/>
          <w:sz w:val="19"/>
        </w:rPr>
        <w:t xml:space="preserve">Warum nicht höher   </w:t>
      </w:r>
      <w:r>
        <w:rPr>
          <w:rFonts w:ascii="Cambria" w:hAnsi="Cambria"/>
          <w:color w:val="1C1C1C"/>
          <w:sz w:val="21"/>
        </w:rPr>
        <w:t xml:space="preserve">„Prägnant“ ist sie nicht ganz. Tabelle 1 ist aus Platzgründen in zwei Blöcke zerlegt, was das Lesen erschwert. Die Zusatzrechnung zu 45 °C in Abschnitt 6 gehört nicht zur gestellten Frage. Beides sind Kleinigkeiten – aber Ebene 4 verlangt, dass nichts Irrelevantes übrig bleibt.</w:t>
      </w:r>
    </w:p>
    <w:p>
      <w:pPr>
        <w:pStyle w:val="KPAbschnitt"/>
        <w:spacing w:line="288" w:lineRule="auto"/>
      </w:pPr>
      <w:r>
        <w:rPr>
          <w:rFonts w:ascii="Calibri" w:hAnsi="Calibri"/>
          <w:b/>
          <w:color w:val="8FB840"/>
          <w:sz w:val="24"/>
        </w:rPr>
        <w:t xml:space="preserve">Ebene 2 von 4   </w:t>
      </w:r>
      <w:r>
        <w:rPr>
          <w:rFonts w:ascii="Calibri" w:hAnsi="Calibri"/>
          <w:b/>
          <w:color w:val="0F3D2A"/>
          <w:sz w:val="24"/>
        </w:rPr>
        <w:t xml:space="preserve">Kriterium B: Mathematische Kommunikation</w:t>
      </w:r>
    </w:p>
    <w:p>
      <w:pPr>
        <w:pStyle w:val="KPFließtext"/>
        <w:spacing w:line="288" w:lineRule="auto"/>
      </w:pPr>
      <w:r>
        <w:rPr>
          <w:rFonts w:ascii="Calibri" w:hAnsi="Calibri"/>
          <w:b/>
          <w:color w:val="0F3D2A"/>
          <w:sz w:val="19"/>
        </w:rPr>
        <w:t xml:space="preserve">Warum diese Ebene   </w:t>
      </w:r>
      <w:r>
        <w:rPr>
          <w:rFonts w:ascii="Cambria" w:hAnsi="Cambria"/>
          <w:color w:val="1C1C1C"/>
          <w:sz w:val="21"/>
        </w:rPr>
        <w:t xml:space="preserve">Die abgesetzten Gleichungen sind sauber gesetzt und nummeriert, es gibt drei Darstellungsformen (Tabelle, Graph, Formel), und die Linearisierung in Abbildung 1 ist vollständig beschriftet, bis hin zur Einheit im Logarithmus.</w:t>
      </w:r>
    </w:p>
    <w:p>
      <w:pPr>
        <w:pStyle w:val="KPFließtext"/>
        <w:spacing w:line="288" w:lineRule="auto"/>
      </w:pPr>
      <w:r>
        <w:rPr>
          <w:rFonts w:ascii="Calibri" w:hAnsi="Calibri"/>
          <w:b/>
          <w:color w:val="E2725B"/>
          <w:sz w:val="19"/>
        </w:rPr>
        <w:t xml:space="preserve">Warum nicht höher   </w:t>
      </w:r>
      <w:r>
        <w:rPr>
          <w:rFonts w:ascii="Cambria" w:hAnsi="Cambria"/>
          <w:color w:val="1C1C1C"/>
          <w:sz w:val="21"/>
        </w:rPr>
        <w:t xml:space="preserve">Abbildung 2 hat keine Beschriftung und keine Einheit an der Ordinate – das Handbuch nennt unbeschriftete Abbildungen ausdrücklich als Beispiel für die unterste Ebene. Im Fließtext steht durchgehend Taschenrechnerschreibweise: „T_U“, „T_0“, „e^3,9510“. Die Konstante k wird eingeführt, aber nie mit Einheit versehen, obwohl sie eine hat (1/min). Und T bezeichnet einmal die Funktion T(t), einmal einen Wert („ln(T − 26)“). Die Kommunikation ist damit in Ansätzen relevant und angemessen, aber nicht konsistent.</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Strittig</w:t>
            </w:r>
          </w:p>
          <w:p>
            <w:pPr>
              <w:spacing w:after="60" w:line="288" w:lineRule="auto"/>
            </w:pPr>
            <w:r>
              <w:rPr>
                <w:rFonts w:ascii="Cambria" w:hAnsi="Cambria"/>
                <w:color w:val="1C1C1C"/>
                <w:sz w:val="20"/>
              </w:rPr>
              <w:t xml:space="preserve">Für Ebene 3 lässt sich argumentieren, weil alles außer Abbildung 2 ordentlich ist. Ich bleibe bei 2, weil die unbeschriftete Abbildung im Handbuch namentlich genannt ist und die Notationsmischung sich durch den ganzen Text zieht. Für die Lerngruppe ist das die wichtigste Beobachtung der Doppelstunde: Zwei Punkte hängen hier an einer Achsenbeschriftung und an konsequenter Schreibweise – das ist der billigste Punktgewinn der ganzen Arbeit.</w:t>
            </w:r>
          </w:p>
        </w:tc>
      </w:tr>
    </w:tbl>
    <w:p>
      <w:pPr>
        <w:spacing w:after="120" w:line="288" w:lineRule="auto"/>
      </w:pPr>
    </w:p>
    <w:p>
      <w:pPr>
        <w:pStyle w:val="KPAbschnitt"/>
        <w:spacing w:line="288" w:lineRule="auto"/>
      </w:pPr>
      <w:r>
        <w:rPr>
          <w:rFonts w:ascii="Calibri" w:hAnsi="Calibri"/>
          <w:b/>
          <w:color w:val="8FB840"/>
          <w:sz w:val="24"/>
        </w:rPr>
        <w:t xml:space="preserve">Ebene 2 von 3   </w:t>
      </w:r>
      <w:r>
        <w:rPr>
          <w:rFonts w:ascii="Calibri" w:hAnsi="Calibri"/>
          <w:b/>
          <w:color w:val="0F3D2A"/>
          <w:sz w:val="24"/>
        </w:rPr>
        <w:t xml:space="preserve">Kriterium C: Persönlicher Einsatz</w:t>
      </w:r>
    </w:p>
    <w:p>
      <w:pPr>
        <w:pStyle w:val="KPFließtext"/>
        <w:spacing w:line="288" w:lineRule="auto"/>
      </w:pPr>
      <w:r>
        <w:rPr>
          <w:rFonts w:ascii="Calibri" w:hAnsi="Calibri"/>
          <w:b/>
          <w:color w:val="0F3D2A"/>
          <w:sz w:val="19"/>
        </w:rPr>
        <w:t xml:space="preserve">Warum diese Ebene   </w:t>
      </w:r>
      <w:r>
        <w:rPr>
          <w:rFonts w:ascii="Cambria" w:hAnsi="Cambria"/>
          <w:color w:val="1C1C1C"/>
          <w:sz w:val="21"/>
        </w:rPr>
        <w:t xml:space="preserve">Die Frage stammt aus dem eigenen Alltag und ist konkret. Die Daten sind selbst erhoben, nicht nachgeschlagen. Die Trinktemperatur von 55 °C ist eine eigene Festlegung, die der Frage erst ihren Sinn gibt. Der Einsatz treibt die Arbeit voran, und man versteht die Absicht der Verfasserin – das ist genau der Deskriptor für „deutlich“.</w:t>
      </w:r>
    </w:p>
    <w:p>
      <w:pPr>
        <w:pStyle w:val="KPFließtext"/>
        <w:spacing w:line="288" w:lineRule="auto"/>
      </w:pPr>
      <w:r>
        <w:rPr>
          <w:rFonts w:ascii="Calibri" w:hAnsi="Calibri"/>
          <w:b/>
          <w:color w:val="E2725B"/>
          <w:sz w:val="19"/>
        </w:rPr>
        <w:t xml:space="preserve">Warum nicht höher   </w:t>
      </w:r>
      <w:r>
        <w:rPr>
          <w:rFonts w:ascii="Cambria" w:hAnsi="Cambria"/>
          <w:color w:val="1C1C1C"/>
          <w:sz w:val="21"/>
        </w:rPr>
        <w:t xml:space="preserve">Für „herausragend“ fehlt die kreative Wendung: keine eigene Darstellungsform, keine Vorhersage, die vorher aufgestellt und dann geprüft wird, kein zweiter Blickwinkel. Die Arbeit macht das Naheliegende sorgfältig – aber nur das Naheliegende.</w:t>
      </w:r>
    </w:p>
    <w:p>
      <w:pPr>
        <w:pStyle w:val="KPAbschnitt"/>
        <w:spacing w:line="288" w:lineRule="auto"/>
      </w:pPr>
      <w:r>
        <w:rPr>
          <w:rFonts w:ascii="Calibri" w:hAnsi="Calibri"/>
          <w:b/>
          <w:color w:val="8FB840"/>
          <w:sz w:val="24"/>
        </w:rPr>
        <w:t xml:space="preserve">Ebene 2 von 3   </w:t>
      </w:r>
      <w:r>
        <w:rPr>
          <w:rFonts w:ascii="Calibri" w:hAnsi="Calibri"/>
          <w:b/>
          <w:color w:val="0F3D2A"/>
          <w:sz w:val="24"/>
        </w:rPr>
        <w:t xml:space="preserve">Kriterium D: Reflexion</w:t>
      </w:r>
    </w:p>
    <w:p>
      <w:pPr>
        <w:pStyle w:val="KPFließtext"/>
        <w:spacing w:line="288" w:lineRule="auto"/>
      </w:pPr>
      <w:r>
        <w:rPr>
          <w:rFonts w:ascii="Calibri" w:hAnsi="Calibri"/>
          <w:b/>
          <w:color w:val="0F3D2A"/>
          <w:sz w:val="19"/>
        </w:rPr>
        <w:t xml:space="preserve">Warum diese Ebene   </w:t>
      </w:r>
      <w:r>
        <w:rPr>
          <w:rFonts w:ascii="Cambria" w:hAnsi="Cambria"/>
          <w:color w:val="1C1C1C"/>
          <w:sz w:val="21"/>
        </w:rPr>
        <w:t xml:space="preserve">Abschnitt 7 diskutiert zwei echte Einschränkungen: die als konstant angenommene Umgebungstemperatur, die sich tatsächlich änderte, und die einzelne Messreihe. Zur zweiten steht sogar, was eine weitere Reihe gebracht hätte (Prüfung, ob k reproduzierbar ist). Eine Einschränkung diskutieren ist im Handbuch das Beispiel für sinnvolle Reflexion.</w:t>
      </w:r>
    </w:p>
    <w:p>
      <w:pPr>
        <w:pStyle w:val="KPFließtext"/>
        <w:spacing w:line="288" w:lineRule="auto"/>
      </w:pPr>
      <w:r>
        <w:rPr>
          <w:rFonts w:ascii="Calibri" w:hAnsi="Calibri"/>
          <w:b/>
          <w:color w:val="E2725B"/>
          <w:sz w:val="19"/>
        </w:rPr>
        <w:t xml:space="preserve">Warum nicht höher   </w:t>
      </w:r>
      <w:r>
        <w:rPr>
          <w:rFonts w:ascii="Cambria" w:hAnsi="Cambria"/>
          <w:color w:val="1C1C1C"/>
          <w:sz w:val="21"/>
        </w:rPr>
        <w:t xml:space="preserve">Für Ebene 3 müsste die kritische Reflexion sich durch die Arbeit ziehen oder, wenn sie nur am Schluss steht, von hoher Qualität sein und zeigen, wie sie die Arbeit vorangebracht hat. Hier steht sie am Ende und bleibt folgenlos: Die genannte Schwäche wird weder quantifiziert noch in der Antwort berücksichtigt. Tabelle 2 hätte den Ansatzpunkt geliefert: Sie zeigt acht der fünfzehn Abweichungen, ohne dass die Auswahl begründet würde – und die größte Abweichung von 0,66 °C, die im Text genannt wird, ist gerade nicht darunter. Wer eine Auswahl zeigt, muss sagen, wonach ausgewählt wurde.</w:t>
      </w:r>
    </w:p>
    <w:p>
      <w:pPr>
        <w:pStyle w:val="KPAbschnitt"/>
        <w:spacing w:line="288" w:lineRule="auto"/>
      </w:pPr>
      <w:r>
        <w:rPr>
          <w:rFonts w:ascii="Calibri" w:hAnsi="Calibri"/>
          <w:b/>
          <w:color w:val="8FB840"/>
          <w:sz w:val="24"/>
        </w:rPr>
        <w:t xml:space="preserve">Ebene 3 von 6   </w:t>
      </w:r>
      <w:r>
        <w:rPr>
          <w:rFonts w:ascii="Calibri" w:hAnsi="Calibri"/>
          <w:b/>
          <w:color w:val="0F3D2A"/>
          <w:sz w:val="24"/>
        </w:rPr>
        <w:t xml:space="preserve">Kriterium E: Nutzung der Mathematik</w:t>
      </w:r>
    </w:p>
    <w:p>
      <w:pPr>
        <w:pStyle w:val="KPFließtext"/>
        <w:spacing w:line="288" w:lineRule="auto"/>
      </w:pPr>
      <w:r>
        <w:rPr>
          <w:rFonts w:ascii="Calibri" w:hAnsi="Calibri"/>
          <w:b/>
          <w:color w:val="0F3D2A"/>
          <w:sz w:val="19"/>
        </w:rPr>
        <w:t xml:space="preserve">Warum diese Ebene   </w:t>
      </w:r>
      <w:r>
        <w:rPr>
          <w:rFonts w:ascii="Cambria" w:hAnsi="Cambria"/>
          <w:color w:val="1C1C1C"/>
          <w:sz w:val="21"/>
        </w:rPr>
        <w:t xml:space="preserve">Die eingesetzte Mathematik ist relevant und liegt auf Kursniveau: Exponentialfunktion und Exponentialgleichung, Logarithmengesetze zur Linearisierung, lineare Regression, Kettenregel bei der Ableitung. Sie trägt die Frage von Anfang bis Ende, und sie ist rechnerisch korrekt.</w:t>
      </w:r>
    </w:p>
    <w:p>
      <w:pPr>
        <w:pStyle w:val="KPFließtext"/>
        <w:spacing w:line="288" w:lineRule="auto"/>
      </w:pPr>
      <w:r>
        <w:rPr>
          <w:rFonts w:ascii="Calibri" w:hAnsi="Calibri"/>
          <w:b/>
          <w:color w:val="E2725B"/>
          <w:sz w:val="19"/>
        </w:rPr>
        <w:t xml:space="preserve">Warum nicht höher   </w:t>
      </w:r>
      <w:r>
        <w:rPr>
          <w:rFonts w:ascii="Cambria" w:hAnsi="Cambria"/>
          <w:color w:val="1C1C1C"/>
          <w:sz w:val="21"/>
        </w:rPr>
        <w:t xml:space="preserve">Demonstriertes Verständnis bleibt begrenzt. Das Modell wird aus einem Physikbuch übernommen, ohne dass die Annahme dahinter geprüft würde. Als Beleg für die Modellgüte dient der Korrelationskoeffizient – der misst aber nur, wie gerade die linearisierten Daten liegen, nicht, ob das Modell richtig ist; das ist ein echter inhaltlicher Kurzschluss. Die Ableitung wird korrekt gebildet und in einem Satz gedeutet, ohne dass die Bedeutung des Vorfaktors erklärt wird. Das Handbuch ist hier deutlich: Die Angabe der korrekten Antwort reicht nicht aus, um Verständnis zu demonstrieren.</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Strittig</w:t>
            </w:r>
          </w:p>
          <w:p>
            <w:pPr>
              <w:spacing w:after="60" w:line="288" w:lineRule="auto"/>
            </w:pPr>
            <w:r>
              <w:rPr>
                <w:rFonts w:ascii="Cambria" w:hAnsi="Cambria"/>
                <w:color w:val="1C1C1C"/>
                <w:sz w:val="20"/>
              </w:rPr>
              <w:t xml:space="preserve">Ebene 4 ist vertretbar, weil die Mathematik durchgehend korrekt ist und der Deskriptor für 4 nur „teilweise korrekt“ verlangt. Die Leiter ist an dieser Stelle im Handbuch nicht trennscharf. Wer 4 gibt, kommt auf 13 Punkte.</w:t>
            </w:r>
          </w:p>
        </w:tc>
      </w:tr>
    </w:tbl>
    <w:p>
      <w:pPr>
        <w:spacing w:after="120" w:line="288" w:lineRule="auto"/>
      </w:pP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1F4EC"/>
            <w:tcBorders>
              <w:left w:val="single" w:sz="26" w:space="0" w:color="8FB840"/>
            </w:tcBorders>
            <w:tcMar>
              <w:top w:w="150" w:type="dxa"/>
              <w:left w:w="220" w:type="dxa"/>
              <w:bottom w:w="150" w:type="dxa"/>
              <w:right w:w="200" w:type="dxa"/>
            </w:tcMar>
          </w:tcPr>
          <w:p>
            <w:pPr>
              <w:spacing w:after="80" w:line="288" w:lineRule="auto"/>
            </w:pPr>
            <w:r>
              <w:rPr>
                <w:rFonts w:ascii="Calibri" w:hAnsi="Calibri"/>
                <w:b/>
                <w:color w:val="0F3D2A"/>
                <w:sz w:val="22"/>
              </w:rPr>
              <w:t xml:space="preserve">Gesamturteil</w:t>
            </w:r>
          </w:p>
          <w:p>
            <w:pPr>
              <w:spacing w:after="60" w:line="288" w:lineRule="auto"/>
            </w:pPr>
            <w:r>
              <w:rPr>
                <w:rFonts w:ascii="Cambria" w:hAnsi="Cambria"/>
                <w:color w:val="1C1C1C"/>
                <w:sz w:val="20"/>
              </w:rPr>
              <w:t xml:space="preserve">Eine ordentliche, ehrliche Arbeit ohne Fehler und ohne Funken. Genau das ist der pädagogische Wert: Die Lerngruppe sieht, dass „nichts falsch“ und „gut“ zwei verschiedene Dinge sind – und dass die fehlenden acht Punkte nicht an schwerer Mathematik hängen, sondern an einer Achsenbeschriftung, an konsequenter Notation, an einer geprüften Vorhersage und an einer Reflexion, die etwas verändert.</w:t>
            </w:r>
          </w:p>
        </w:tc>
      </w:tr>
    </w:tbl>
    <w:p>
      <w:pPr>
        <w:spacing w:after="120" w:line="288" w:lineRule="auto"/>
      </w:pPr>
    </w:p>
    <w:p>
      <w:r>
        <w:br w:type="page"/>
      </w:r>
    </w:p>
    <w:p>
      <w:pPr>
        <w:pStyle w:val="KPKapitel"/>
        <w:spacing w:line="288" w:lineRule="auto"/>
      </w:pPr>
      <w:r>
        <w:rPr>
          <w:rFonts w:ascii="Calibri" w:hAnsi="Calibri"/>
          <w:b/>
          <w:color w:val="0F3D2A"/>
          <w:sz w:val="32"/>
        </w:rPr>
        <w:t xml:space="preserve">Muster C – Der schnellste Weg zum Bus</w:t>
      </w:r>
    </w:p>
    <w:p>
      <w:pPr>
        <w:pStyle w:val="KPKlein"/>
        <w:spacing w:line="288" w:lineRule="auto"/>
      </w:pPr>
      <w:r>
        <w:rPr>
          <w:rFonts w:ascii="Calibri" w:hAnsi="Calibri"/>
          <w:color w:val="5E5E5E"/>
          <w:sz w:val="18"/>
        </w:rPr>
        <w:t xml:space="preserve">Higher Level  ·  18 von 20 Punkten</w:t>
      </w:r>
    </w:p>
    <w:p>
      <w:pPr>
        <w:pStyle w:val="KPAbschnitt"/>
        <w:spacing w:line="288" w:lineRule="auto"/>
      </w:pPr>
      <w:r>
        <w:rPr>
          <w:rFonts w:ascii="Calibri" w:hAnsi="Calibri"/>
          <w:b/>
          <w:color w:val="8FB840"/>
          <w:sz w:val="24"/>
        </w:rPr>
        <w:t xml:space="preserve">Ebene 4 von 4   </w:t>
      </w:r>
      <w:r>
        <w:rPr>
          <w:rFonts w:ascii="Calibri" w:hAnsi="Calibri"/>
          <w:b/>
          <w:color w:val="0F3D2A"/>
          <w:sz w:val="24"/>
        </w:rPr>
        <w:t xml:space="preserve">Kriterium A: Präsentation</w:t>
      </w:r>
    </w:p>
    <w:p>
      <w:pPr>
        <w:pStyle w:val="KPFließtext"/>
        <w:spacing w:line="288" w:lineRule="auto"/>
      </w:pPr>
      <w:r>
        <w:rPr>
          <w:rFonts w:ascii="Calibri" w:hAnsi="Calibri"/>
          <w:b/>
          <w:color w:val="0F3D2A"/>
          <w:sz w:val="19"/>
        </w:rPr>
        <w:t xml:space="preserve">Warum diese Ebene   </w:t>
      </w:r>
      <w:r>
        <w:rPr>
          <w:rFonts w:ascii="Cambria" w:hAnsi="Cambria"/>
          <w:color w:val="1C1C1C"/>
          <w:sz w:val="21"/>
        </w:rPr>
        <w:t xml:space="preserve">Stimmig: Die Einleitung stellt die Frage in zwei Teilen und sagt sogar, wie der zweite Teil entstanden ist. Jeder Abschnitt bringt die Frage weiter; Abschnitt 7 beantwortet den zweiten Teil, Abschnitt 8 beide. Gut gegliedert: Modell, Messung, Funktion, Optimierung, Sensitivität, Verallgemeinerung, Schluss – die Reihenfolge ist zwingend. Beide Abbildungen und beide Tabellen stehen dort, wo man sie braucht. Prägnant: Keine Rechnung steht doppelt, die Randfälle werden in zwei Zeilen erledigt, die Annahmen stehen als kurze Liste statt als Absatz.</w:t>
      </w:r>
    </w:p>
    <w:p>
      <w:pPr>
        <w:pStyle w:val="KPFließtext"/>
        <w:spacing w:line="288" w:lineRule="auto"/>
      </w:pPr>
      <w:r>
        <w:rPr>
          <w:rFonts w:ascii="Calibri" w:hAnsi="Calibri"/>
          <w:b/>
          <w:color w:val="E2725B"/>
          <w:sz w:val="19"/>
        </w:rPr>
        <w:t xml:space="preserve">Warum nicht höher   </w:t>
      </w:r>
      <w:r>
        <w:rPr>
          <w:rFonts w:ascii="Cambria" w:hAnsi="Cambria"/>
          <w:color w:val="1C1C1C"/>
          <w:sz w:val="21"/>
        </w:rPr>
        <w:t xml:space="preserve">Ebene 4 ist die höchste.</w:t>
      </w:r>
    </w:p>
    <w:p>
      <w:pPr>
        <w:pStyle w:val="KPAbschnitt"/>
        <w:spacing w:line="288" w:lineRule="auto"/>
      </w:pPr>
      <w:r>
        <w:rPr>
          <w:rFonts w:ascii="Calibri" w:hAnsi="Calibri"/>
          <w:b/>
          <w:color w:val="8FB840"/>
          <w:sz w:val="24"/>
        </w:rPr>
        <w:t xml:space="preserve">Ebene 4 von 4   </w:t>
      </w:r>
      <w:r>
        <w:rPr>
          <w:rFonts w:ascii="Calibri" w:hAnsi="Calibri"/>
          <w:b/>
          <w:color w:val="0F3D2A"/>
          <w:sz w:val="24"/>
        </w:rPr>
        <w:t xml:space="preserve">Kriterium B: Mathematische Kommunikation</w:t>
      </w:r>
    </w:p>
    <w:p>
      <w:pPr>
        <w:pStyle w:val="KPFließtext"/>
        <w:spacing w:line="288" w:lineRule="auto"/>
      </w:pPr>
      <w:r>
        <w:rPr>
          <w:rFonts w:ascii="Calibri" w:hAnsi="Calibri"/>
          <w:b/>
          <w:color w:val="0F3D2A"/>
          <w:sz w:val="19"/>
        </w:rPr>
        <w:t xml:space="preserve">Warum diese Ebene   </w:t>
      </w:r>
      <w:r>
        <w:rPr>
          <w:rFonts w:ascii="Cambria" w:hAnsi="Cambria"/>
          <w:color w:val="1C1C1C"/>
          <w:sz w:val="21"/>
        </w:rPr>
        <w:t xml:space="preserve">Durchgehend konsistent: Alle Größen werden in Abschnitt 2 mit Einheit definiert und behalten ihre Bezeichnung bis zum Schluss. Die Gleichungen sind nummeriert, und die Nummern werden benutzt. Vier Darstellungsformen greifen ineinander – Skizze, Tabelle, Termumformung, Graph. Die Herleitung in Abschnitt 5 ist deduktiv aufgebaut, mit der ausdrücklichen Bemerkung, warum quadriert werden darf. Abbildung 1 definiert θ zeichnerisch, bevor der Winkel in Abschnitt 7 gebraucht wird.</w:t>
      </w:r>
    </w:p>
    <w:p>
      <w:pPr>
        <w:pStyle w:val="KPFließtext"/>
        <w:spacing w:line="288" w:lineRule="auto"/>
      </w:pPr>
      <w:r>
        <w:rPr>
          <w:rFonts w:ascii="Calibri" w:hAnsi="Calibri"/>
          <w:b/>
          <w:color w:val="E2725B"/>
          <w:sz w:val="19"/>
        </w:rPr>
        <w:t xml:space="preserve">Warum nicht höher   </w:t>
      </w:r>
      <w:r>
        <w:rPr>
          <w:rFonts w:ascii="Cambria" w:hAnsi="Cambria"/>
          <w:color w:val="1C1C1C"/>
          <w:sz w:val="21"/>
        </w:rPr>
        <w:t xml:space="preserve">Ebene 4 ist die höchste. Das Handbuch stellt ausdrücklich klar, dass kleine Fehler ohne Beeinträchtigung der Klarheit hier nicht abwerten.</w:t>
      </w:r>
    </w:p>
    <w:p>
      <w:pPr>
        <w:pStyle w:val="KPAbschnitt"/>
        <w:spacing w:line="288" w:lineRule="auto"/>
      </w:pPr>
      <w:r>
        <w:rPr>
          <w:rFonts w:ascii="Calibri" w:hAnsi="Calibri"/>
          <w:b/>
          <w:color w:val="8FB840"/>
          <w:sz w:val="24"/>
        </w:rPr>
        <w:t xml:space="preserve">Ebene 3 von 3   </w:t>
      </w:r>
      <w:r>
        <w:rPr>
          <w:rFonts w:ascii="Calibri" w:hAnsi="Calibri"/>
          <w:b/>
          <w:color w:val="0F3D2A"/>
          <w:sz w:val="24"/>
        </w:rPr>
        <w:t xml:space="preserve">Kriterium C: Persönlicher Einsatz</w:t>
      </w:r>
    </w:p>
    <w:p>
      <w:pPr>
        <w:pStyle w:val="KPFließtext"/>
        <w:spacing w:line="288" w:lineRule="auto"/>
      </w:pPr>
      <w:r>
        <w:rPr>
          <w:rFonts w:ascii="Calibri" w:hAnsi="Calibri"/>
          <w:b/>
          <w:color w:val="0F3D2A"/>
          <w:sz w:val="19"/>
        </w:rPr>
        <w:t xml:space="preserve">Warum diese Ebene   </w:t>
      </w:r>
      <w:r>
        <w:rPr>
          <w:rFonts w:ascii="Cambria" w:hAnsi="Cambria"/>
          <w:color w:val="1C1C1C"/>
          <w:sz w:val="21"/>
        </w:rPr>
        <w:t xml:space="preserve">Belege an vielen Stellen und in hoher Qualität. Die Frage kommt aus einem echten Streit und ist nicht konstruiert. Die Geschwindigkeiten werden selbst gemessen, mit fünf Läufen je Untergrund und Standardabweichung, statt aus dem Netz genommen. Der zweite Teil der Frage entsteht mitten in der Arbeit aus einer eigenen Beobachtung („kam sie mir bekannt vor“). Die Frage in Abschnitt 6, wie genau man den Punkt treffen muss, stellt niemand außer dem Verfasser. Und Abschnitt 8 räumt ein, dass beide Streitparteien unrecht hatten – das treibt die Arbeit kreativ voran und lässt den Leser die Absicht verstehen.</w:t>
      </w:r>
    </w:p>
    <w:p>
      <w:pPr>
        <w:pStyle w:val="KPFließtext"/>
        <w:spacing w:line="288" w:lineRule="auto"/>
      </w:pPr>
      <w:r>
        <w:rPr>
          <w:rFonts w:ascii="Calibri" w:hAnsi="Calibri"/>
          <w:b/>
          <w:color w:val="E2725B"/>
          <w:sz w:val="19"/>
        </w:rPr>
        <w:t xml:space="preserve">Warum nicht höher   </w:t>
      </w:r>
      <w:r>
        <w:rPr>
          <w:rFonts w:ascii="Cambria" w:hAnsi="Cambria"/>
          <w:color w:val="1C1C1C"/>
          <w:sz w:val="21"/>
        </w:rPr>
        <w:t xml:space="preserve">Ebene 3 ist die höchste.</w:t>
      </w:r>
    </w:p>
    <w:p>
      <w:pPr>
        <w:pStyle w:val="KPAbschnitt"/>
        <w:spacing w:line="288" w:lineRule="auto"/>
      </w:pPr>
      <w:r>
        <w:rPr>
          <w:rFonts w:ascii="Calibri" w:hAnsi="Calibri"/>
          <w:b/>
          <w:color w:val="8FB840"/>
          <w:sz w:val="24"/>
        </w:rPr>
        <w:t xml:space="preserve">Ebene 2 von 3   </w:t>
      </w:r>
      <w:r>
        <w:rPr>
          <w:rFonts w:ascii="Calibri" w:hAnsi="Calibri"/>
          <w:b/>
          <w:color w:val="0F3D2A"/>
          <w:sz w:val="24"/>
        </w:rPr>
        <w:t xml:space="preserve">Kriterium D: Reflexion</w:t>
      </w:r>
    </w:p>
    <w:p>
      <w:pPr>
        <w:pStyle w:val="KPFließtext"/>
        <w:spacing w:line="288" w:lineRule="auto"/>
      </w:pPr>
      <w:r>
        <w:rPr>
          <w:rFonts w:ascii="Calibri" w:hAnsi="Calibri"/>
          <w:b/>
          <w:color w:val="0F3D2A"/>
          <w:sz w:val="19"/>
        </w:rPr>
        <w:t xml:space="preserve">Warum diese Ebene   </w:t>
      </w:r>
      <w:r>
        <w:rPr>
          <w:rFonts w:ascii="Cambria" w:hAnsi="Cambria"/>
          <w:color w:val="1C1C1C"/>
          <w:sz w:val="21"/>
        </w:rPr>
        <w:t xml:space="preserve">Sinnvolle Reflexion ist eindeutig belegt: Abschnitt 8 diskutiert eine Einschränkung (die nicht konstante Geschwindigkeit nach dem Richtungswechsel), benennt ihre Richtung (sie verschiebt den Vergleich zugunsten der Luftlinie), nennt den nächsten Schritt und bewertet die Arbeit selbst („den Vergleich zweier Wege halte ich für den weniger interessanten Teil“).</w:t>
      </w:r>
    </w:p>
    <w:p>
      <w:pPr>
        <w:pStyle w:val="KPFließtext"/>
        <w:spacing w:line="288" w:lineRule="auto"/>
      </w:pPr>
      <w:r>
        <w:rPr>
          <w:rFonts w:ascii="Calibri" w:hAnsi="Calibri"/>
          <w:b/>
          <w:color w:val="E2725B"/>
          <w:sz w:val="19"/>
        </w:rPr>
        <w:t xml:space="preserve">Warum nicht höher   </w:t>
      </w:r>
      <w:r>
        <w:rPr>
          <w:rFonts w:ascii="Cambria" w:hAnsi="Cambria"/>
          <w:color w:val="1C1C1C"/>
          <w:sz w:val="21"/>
        </w:rPr>
        <w:t xml:space="preserve">Für Ebene 3 verlangt das Handbuch umfangreiche Belege, das heißt: Die kritische Reflexion zieht sich durch die gesamte Arbeit. Hier steht sie fast vollständig in Abschnitt 8. Abschnitt 6 kommentiert zwar ein Ergebnis, reflektiert aber nicht über das Vorgehen. An keiner Stelle wird erklärt, warum die Geschwindigkeiten gemessen und nicht geschätzt wurden – genau dort hätte eine Zeile Reflexion mitten in der Arbeit gestanden.</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Strittig</w:t>
            </w:r>
          </w:p>
          <w:p>
            <w:pPr>
              <w:spacing w:after="60" w:line="288" w:lineRule="auto"/>
            </w:pPr>
            <w:r>
              <w:rPr>
                <w:rFonts w:ascii="Cambria" w:hAnsi="Cambria"/>
                <w:color w:val="1C1C1C"/>
                <w:sz w:val="20"/>
              </w:rPr>
              <w:t xml:space="preserve">Ebene 3 ist gut vertretbar: Die Reflexion am Schluss ist von hoher Qualität, und der Satz, man würde den allgemeinen Fall beim nächsten Mal an den Anfang stellen, zeigt, wie sie zur Entwicklung beigetragen hat. Wer 3 gibt, kommt auf 19. Diese eine Streitfrage ist das Beste, was man in der Punktekonferenz von Doppelstunde 6 diskutieren kann: Sie zeigt, dass es beim Bewerten nicht um Geschmack geht, sondern um die Frage, ob ein bestimmter Deskriptorbestandteil – hier „umfangreich“ – belegt ist oder nicht.</w:t>
            </w:r>
          </w:p>
        </w:tc>
      </w:tr>
    </w:tbl>
    <w:p>
      <w:pPr>
        <w:spacing w:after="120" w:line="288" w:lineRule="auto"/>
      </w:pPr>
    </w:p>
    <w:p>
      <w:pPr>
        <w:pStyle w:val="KPAbschnitt"/>
        <w:spacing w:line="288" w:lineRule="auto"/>
      </w:pPr>
      <w:r>
        <w:rPr>
          <w:rFonts w:ascii="Calibri" w:hAnsi="Calibri"/>
          <w:b/>
          <w:color w:val="8FB840"/>
          <w:sz w:val="24"/>
        </w:rPr>
        <w:t xml:space="preserve">Ebene 5 von 6   </w:t>
      </w:r>
      <w:r>
        <w:rPr>
          <w:rFonts w:ascii="Calibri" w:hAnsi="Calibri"/>
          <w:b/>
          <w:color w:val="0F3D2A"/>
          <w:sz w:val="24"/>
        </w:rPr>
        <w:t xml:space="preserve">Kriterium E: Nutzung der Mathematik</w:t>
      </w:r>
    </w:p>
    <w:p>
      <w:pPr>
        <w:pStyle w:val="KPFließtext"/>
        <w:spacing w:line="288" w:lineRule="auto"/>
      </w:pPr>
      <w:r>
        <w:rPr>
          <w:rFonts w:ascii="Calibri" w:hAnsi="Calibri"/>
          <w:b/>
          <w:color w:val="0F3D2A"/>
          <w:sz w:val="19"/>
        </w:rPr>
        <w:t xml:space="preserve">Warum diese Ebene   </w:t>
      </w:r>
      <w:r>
        <w:rPr>
          <w:rFonts w:ascii="Cambria" w:hAnsi="Cambria"/>
          <w:color w:val="1C1C1C"/>
          <w:sz w:val="21"/>
        </w:rPr>
        <w:t xml:space="preserve">Relevant und auf Kursniveau: Kettenregel, Optimierung mit notwendiger Bedingung, zweite Ableitung als hinreichendes Kriterium, Trigonometrie am rechtwinkligen Dreieck, Mittelwert und Standardabweichung. Korrekt: Die Ableitungen stimmen, die Umformung ist sauber begründet, die zweite Ableitung ist richtig berechnet und richtig ausgewertet (strenge Konvexität auf dem ganzen Intervall, daher eindeutiges Minimum). Umfassendes Verständnis wird durchgehend demonstriert – nirgends steht nur ein Ergebnis. Und der Anspruch ist eindeutig belegt: Die Optimalitätsbedingung wird nicht nur ausgewertet, sondern umgeschrieben, bis sie als Brechungsgesetz erkennbar ist, und danach für zwei Medien allgemein hergeleitet. Das Handbuch nennt genau das als Beispiel für Anspruch – zugrundeliegende Strukturen erkennen, die verschiedene Bereiche verbinden.</w:t>
      </w:r>
    </w:p>
    <w:p>
      <w:pPr>
        <w:pStyle w:val="KPFließtext"/>
        <w:spacing w:line="288" w:lineRule="auto"/>
      </w:pPr>
      <w:r>
        <w:rPr>
          <w:rFonts w:ascii="Calibri" w:hAnsi="Calibri"/>
          <w:b/>
          <w:color w:val="E2725B"/>
          <w:sz w:val="19"/>
        </w:rPr>
        <w:t xml:space="preserve">Warum nicht höher   </w:t>
      </w:r>
      <w:r>
        <w:rPr>
          <w:rFonts w:ascii="Cambria" w:hAnsi="Cambria"/>
          <w:color w:val="1C1C1C"/>
          <w:sz w:val="21"/>
        </w:rPr>
        <w:t xml:space="preserve">Für Ebene 6 verlangt das Handbuch Anspruch und Stringenz, und die Mathematik muss präzise sein. Die Stringenz hat drei benennbare Lücken. Erstens wird das Intervall [0, d] angegeben, der Fall, dass die optimale Stelle außerhalb liegen könnte, aber nie diskutiert – bei diesen Zahlen tut sie es nicht, aber das wird nicht gesagt. Zweitens steht die Bedingung v₁ &lt; v₂ erst ganz am Schluss und nur für den allgemeinen Fall, obwohl sie schon Gleichung (3) betrifft. Drittens wird beim Quadrieren „für x &gt; 0“ vorausgesetzt, ohne dass x = 0 gesondert betrachtet wird. Jede einzelne Lücke ist klein; zusammen sind sie genau das, was „Stringenz“ meint.</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1F4EC"/>
            <w:tcBorders>
              <w:left w:val="single" w:sz="26" w:space="0" w:color="8FB840"/>
            </w:tcBorders>
            <w:tcMar>
              <w:top w:w="150" w:type="dxa"/>
              <w:left w:w="220" w:type="dxa"/>
              <w:bottom w:w="150" w:type="dxa"/>
              <w:right w:w="200" w:type="dxa"/>
            </w:tcMar>
          </w:tcPr>
          <w:p>
            <w:pPr>
              <w:spacing w:after="80" w:line="288" w:lineRule="auto"/>
            </w:pPr>
            <w:r>
              <w:rPr>
                <w:rFonts w:ascii="Calibri" w:hAnsi="Calibri"/>
                <w:b/>
                <w:color w:val="0F3D2A"/>
                <w:sz w:val="22"/>
              </w:rPr>
              <w:t xml:space="preserve">Gesamturteil</w:t>
            </w:r>
          </w:p>
          <w:p>
            <w:pPr>
              <w:spacing w:after="60" w:line="288" w:lineRule="auto"/>
            </w:pPr>
            <w:r>
              <w:rPr>
                <w:rFonts w:ascii="Cambria" w:hAnsi="Cambria"/>
                <w:color w:val="1C1C1C"/>
                <w:sz w:val="20"/>
              </w:rPr>
              <w:t xml:space="preserve">Eine Arbeit, die zeigt, wovon der Unterschied zwischen einer guten und einer sehr guten Erkundungsarbeit tatsächlich abhängt: nicht von schwererer Mathematik, sondern davon, dass eine Bedingung umgeschrieben statt nur ausgerechnet wird. Für die Lerngruppe sind die beiden fehlenden Punkte der eigentliche Ertrag – sie hängen an einer Reflexion, die zu spät kommt, und an drei Sätzen, die nicht dastehen.</w:t>
            </w:r>
          </w:p>
        </w:tc>
      </w:tr>
    </w:tbl>
    <w:p>
      <w:pPr>
        <w:spacing w:after="120" w:line="288" w:lineRule="auto"/>
      </w:pPr>
    </w:p>
    <w:p>
      <w:r>
        <w:br w:type="page"/>
      </w:r>
    </w:p>
    <w:p>
      <w:pPr>
        <w:pStyle w:val="KPTeil"/>
        <w:spacing w:line="288" w:lineRule="auto"/>
      </w:pPr>
      <w:r>
        <w:rPr>
          <w:rFonts w:ascii="Calibri" w:hAnsi="Calibri"/>
          <w:b/>
          <w:color w:val="8FB840"/>
          <w:sz w:val="44"/>
        </w:rPr>
        <w:t xml:space="preserve">Teil B   </w:t>
      </w:r>
      <w:r>
        <w:rPr>
          <w:rFonts w:ascii="Calibri" w:hAnsi="Calibri"/>
          <w:b/>
          <w:color w:val="0F3D2A"/>
          <w:sz w:val="44"/>
        </w:rPr>
        <w:t xml:space="preserve">Lösungen</w:t>
      </w:r>
    </w:p>
    <w:p>
      <w:pPr>
        <w:pStyle w:val="KPKapitel"/>
        <w:spacing w:line="288" w:lineRule="auto"/>
      </w:pPr>
      <w:r>
        <w:rPr>
          <w:rFonts w:ascii="Calibri" w:hAnsi="Calibri"/>
          <w:b/>
          <w:color w:val="0F3D2A"/>
          <w:sz w:val="32"/>
        </w:rPr>
        <w:t xml:space="preserve">Zu M 2: Erkundung oder nicht?</w:t>
      </w:r>
    </w:p>
    <w:p>
      <w:pPr>
        <w:pStyle w:val="KPKlein"/>
        <w:spacing w:line="288" w:lineRule="auto"/>
      </w:pPr>
      <w:r>
        <w:rPr>
          <w:rFonts w:ascii="Calibri" w:hAnsi="Calibri"/>
          <w:color w:val="5E5E5E"/>
          <w:sz w:val="18"/>
        </w:rPr>
        <w:t xml:space="preserve">Kartensatz aus Doppelstunde 1. Die Spalte „Stapel“ ist die Auflösung, die Spalte „Warum“ das, was in der Auswertung an die Tafel kommt.</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500"/>
        <w:gridCol w:w="3000"/>
        <w:gridCol w:w="1400"/>
        <w:gridCol w:w="4126"/>
      </w:tblGrid>
      <w:tr>
        <w:trPr>
          <w:tblHeader w:val="true"/>
          <w:cantSplit/>
        </w:trPr>
        <w:tc>
          <w:tcPr>
            <w:tcW w:w="5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Nr.</w:t>
            </w:r>
          </w:p>
        </w:tc>
        <w:tc>
          <w:tcPr>
            <w:tcW w:w="30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Karte</w:t>
            </w:r>
          </w:p>
        </w:tc>
        <w:tc>
          <w:tcPr>
            <w:tcW w:w="14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Stapel</w:t>
            </w:r>
          </w:p>
        </w:tc>
        <w:tc>
          <w:tcPr>
            <w:tcW w:w="41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Warum</w:t>
            </w:r>
          </w:p>
        </w:tc>
      </w:tr>
      <w:tr>
        <w:trPr>
          <w:cantSplit/>
        </w:trPr>
        <w:tc>
          <w:tcPr>
            <w:tcW w:w="500" w:type="dxa"/>
            <w:tcMar>
              <w:top w:w="60" w:type="dxa"/>
              <w:left w:w="90" w:type="dxa"/>
              <w:bottom w:w="60" w:type="dxa"/>
              <w:right w:w="90" w:type="dxa"/>
            </w:tcMar>
          </w:tcPr>
          <w:p>
            <w:pPr>
              <w:spacing w:after="0" w:line="264" w:lineRule="auto"/>
            </w:pPr>
            <w:r>
              <w:rPr>
                <w:rFonts w:ascii="Cambria" w:hAnsi="Cambria"/>
                <w:b/>
                <w:color w:val="1C1C1C"/>
                <w:sz w:val="17"/>
              </w:rPr>
              <w:t xml:space="preserve">1</w:t>
            </w:r>
          </w:p>
        </w:tc>
        <w:tc>
          <w:tcPr>
            <w:tcW w:w="3000" w:type="dxa"/>
            <w:tcMar>
              <w:top w:w="60" w:type="dxa"/>
              <w:left w:w="90" w:type="dxa"/>
              <w:bottom w:w="60" w:type="dxa"/>
              <w:right w:w="90" w:type="dxa"/>
            </w:tcMar>
          </w:tcPr>
          <w:p>
            <w:pPr>
              <w:spacing w:after="0" w:line="264" w:lineRule="auto"/>
            </w:pPr>
            <w:r>
              <w:rPr>
                <w:rFonts w:ascii="Cambria" w:hAnsi="Cambria"/>
                <w:color w:val="1C1C1C"/>
                <w:sz w:val="17"/>
              </w:rPr>
              <w:t xml:space="preserve">Die Geschichte der Zahl π von Archimedes bis heute</w:t>
            </w:r>
          </w:p>
        </w:tc>
        <w:tc>
          <w:tcPr>
            <w:tcW w:w="1400" w:type="dxa"/>
            <w:tcMar>
              <w:top w:w="60" w:type="dxa"/>
              <w:left w:w="90" w:type="dxa"/>
              <w:bottom w:w="60" w:type="dxa"/>
              <w:right w:w="90" w:type="dxa"/>
            </w:tcMar>
          </w:tcPr>
          <w:p>
            <w:pPr>
              <w:spacing w:after="0" w:line="264" w:lineRule="auto"/>
            </w:pPr>
            <w:r>
              <w:rPr>
                <w:rFonts w:ascii="Cambria" w:hAnsi="Cambria"/>
                <w:color w:val="1C1C1C"/>
                <w:sz w:val="17"/>
              </w:rPr>
              <w:t xml:space="preserve">keine</w:t>
            </w:r>
          </w:p>
        </w:tc>
        <w:tc>
          <w:tcPr>
            <w:tcW w:w="4126" w:type="dxa"/>
            <w:tcMar>
              <w:top w:w="60" w:type="dxa"/>
              <w:left w:w="90" w:type="dxa"/>
              <w:bottom w:w="60" w:type="dxa"/>
              <w:right w:w="90" w:type="dxa"/>
            </w:tcMar>
          </w:tcPr>
          <w:p>
            <w:pPr>
              <w:spacing w:after="0" w:line="264" w:lineRule="auto"/>
            </w:pPr>
            <w:r>
              <w:rPr>
                <w:rFonts w:ascii="Cambria" w:hAnsi="Cambria"/>
                <w:color w:val="1C1C1C"/>
                <w:sz w:val="17"/>
              </w:rPr>
              <w:t xml:space="preserve">Rein beschreibendes historisches Thema. Die Lehrerhandreichungen nennen genau das als ungeeignet.</w:t>
            </w:r>
          </w:p>
        </w:tc>
      </w:tr>
      <w:tr>
        <w:trPr>
          <w:cantSplit/>
        </w:trPr>
        <w:tc>
          <w:tcPr>
            <w:tcW w:w="500" w:type="dxa"/>
            <w:shd w:val="clear" w:color="auto" w:fill="F1F4EC"/>
            <w:tcMar>
              <w:top w:w="60" w:type="dxa"/>
              <w:left w:w="90" w:type="dxa"/>
              <w:bottom w:w="60" w:type="dxa"/>
              <w:right w:w="90" w:type="dxa"/>
            </w:tcMar>
          </w:tcPr>
          <w:p>
            <w:pPr>
              <w:spacing w:after="0" w:line="264" w:lineRule="auto"/>
            </w:pPr>
            <w:r>
              <w:rPr>
                <w:rFonts w:ascii="Cambria" w:hAnsi="Cambria"/>
                <w:b/>
                <w:color w:val="1C1C1C"/>
                <w:sz w:val="17"/>
              </w:rPr>
              <w:t xml:space="preserve">2</w:t>
            </w:r>
          </w:p>
        </w:tc>
        <w:tc>
          <w:tcPr>
            <w:tcW w:w="3000" w:type="dxa"/>
            <w:shd w:val="clear" w:color="auto" w:fill="F1F4EC"/>
            <w:tcMar>
              <w:top w:w="60" w:type="dxa"/>
              <w:left w:w="90" w:type="dxa"/>
              <w:bottom w:w="60" w:type="dxa"/>
              <w:right w:w="90" w:type="dxa"/>
            </w:tcMar>
          </w:tcPr>
          <w:p>
            <w:pPr>
              <w:spacing w:after="0" w:line="264" w:lineRule="auto"/>
            </w:pPr>
            <w:r>
              <w:rPr>
                <w:rFonts w:ascii="Cambria" w:hAnsi="Cambria"/>
                <w:color w:val="1C1C1C"/>
                <w:sz w:val="17"/>
              </w:rPr>
              <w:t xml:space="preserve">Wie gut beschreibt eine logistische Funktion die Abonnentenzahlen meines Lieblingskanals in den ersten 100 Tagen?</w:t>
            </w:r>
          </w:p>
        </w:tc>
        <w:tc>
          <w:tcPr>
            <w:tcW w:w="1400" w:type="dxa"/>
            <w:shd w:val="clear" w:color="auto" w:fill="F1F4EC"/>
            <w:tcMar>
              <w:top w:w="60" w:type="dxa"/>
              <w:left w:w="90" w:type="dxa"/>
              <w:bottom w:w="60" w:type="dxa"/>
              <w:right w:w="90" w:type="dxa"/>
            </w:tcMar>
          </w:tcPr>
          <w:p>
            <w:pPr>
              <w:spacing w:after="0" w:line="264" w:lineRule="auto"/>
            </w:pPr>
            <w:r>
              <w:rPr>
                <w:rFonts w:ascii="Cambria" w:hAnsi="Cambria"/>
                <w:color w:val="1C1C1C"/>
                <w:sz w:val="17"/>
              </w:rPr>
              <w:t xml:space="preserve">Erkundung</w:t>
            </w:r>
          </w:p>
        </w:tc>
        <w:tc>
          <w:tcPr>
            <w:tcW w:w="4126" w:type="dxa"/>
            <w:shd w:val="clear" w:color="auto" w:fill="F1F4EC"/>
            <w:tcMar>
              <w:top w:w="60" w:type="dxa"/>
              <w:left w:w="90" w:type="dxa"/>
              <w:bottom w:w="60" w:type="dxa"/>
              <w:right w:w="90" w:type="dxa"/>
            </w:tcMar>
          </w:tcPr>
          <w:p>
            <w:pPr>
              <w:spacing w:after="0" w:line="264" w:lineRule="auto"/>
            </w:pPr>
            <w:r>
              <w:rPr>
                <w:rFonts w:ascii="Cambria" w:hAnsi="Cambria"/>
                <w:color w:val="1C1C1C"/>
                <w:sz w:val="17"/>
              </w:rPr>
              <w:t xml:space="preserve">Frage, eigene Daten, ein Modell, das an den Daten scheitern kann. Alle drei Merkmale erfüllt.</w:t>
            </w:r>
          </w:p>
        </w:tc>
      </w:tr>
      <w:tr>
        <w:trPr>
          <w:cantSplit/>
        </w:trPr>
        <w:tc>
          <w:tcPr>
            <w:tcW w:w="500" w:type="dxa"/>
            <w:tcMar>
              <w:top w:w="60" w:type="dxa"/>
              <w:left w:w="90" w:type="dxa"/>
              <w:bottom w:w="60" w:type="dxa"/>
              <w:right w:w="90" w:type="dxa"/>
            </w:tcMar>
          </w:tcPr>
          <w:p>
            <w:pPr>
              <w:spacing w:after="0" w:line="264" w:lineRule="auto"/>
            </w:pPr>
            <w:r>
              <w:rPr>
                <w:rFonts w:ascii="Cambria" w:hAnsi="Cambria"/>
                <w:b/>
                <w:color w:val="1C1C1C"/>
                <w:sz w:val="17"/>
              </w:rPr>
              <w:t xml:space="preserve">3</w:t>
            </w:r>
          </w:p>
        </w:tc>
        <w:tc>
          <w:tcPr>
            <w:tcW w:w="3000" w:type="dxa"/>
            <w:tcMar>
              <w:top w:w="60" w:type="dxa"/>
              <w:left w:w="90" w:type="dxa"/>
              <w:bottom w:w="60" w:type="dxa"/>
              <w:right w:w="90" w:type="dxa"/>
            </w:tcMar>
          </w:tcPr>
          <w:p>
            <w:pPr>
              <w:spacing w:after="0" w:line="264" w:lineRule="auto"/>
            </w:pPr>
            <w:r>
              <w:rPr>
                <w:rFonts w:ascii="Cambria" w:hAnsi="Cambria"/>
                <w:color w:val="1C1C1C"/>
                <w:sz w:val="17"/>
              </w:rPr>
              <w:t xml:space="preserve">Fibonacci-Zahlen in der Natur</w:t>
            </w:r>
          </w:p>
        </w:tc>
        <w:tc>
          <w:tcPr>
            <w:tcW w:w="1400" w:type="dxa"/>
            <w:tcMar>
              <w:top w:w="60" w:type="dxa"/>
              <w:left w:w="90" w:type="dxa"/>
              <w:bottom w:w="60" w:type="dxa"/>
              <w:right w:w="90" w:type="dxa"/>
            </w:tcMar>
          </w:tcPr>
          <w:p>
            <w:pPr>
              <w:spacing w:after="0" w:line="264" w:lineRule="auto"/>
            </w:pPr>
            <w:r>
              <w:rPr>
                <w:rFonts w:ascii="Cambria" w:hAnsi="Cambria"/>
                <w:color w:val="1C1C1C"/>
                <w:sz w:val="17"/>
              </w:rPr>
              <w:t xml:space="preserve">keine</w:t>
            </w:r>
          </w:p>
        </w:tc>
        <w:tc>
          <w:tcPr>
            <w:tcW w:w="4126" w:type="dxa"/>
            <w:tcMar>
              <w:top w:w="60" w:type="dxa"/>
              <w:left w:w="90" w:type="dxa"/>
              <w:bottom w:w="60" w:type="dxa"/>
              <w:right w:w="90" w:type="dxa"/>
            </w:tcMar>
          </w:tcPr>
          <w:p>
            <w:pPr>
              <w:spacing w:after="0" w:line="264" w:lineRule="auto"/>
            </w:pPr>
            <w:r>
              <w:rPr>
                <w:rFonts w:ascii="Cambria" w:hAnsi="Cambria"/>
                <w:color w:val="1C1C1C"/>
                <w:sz w:val="17"/>
              </w:rPr>
              <w:t xml:space="preserve">Ein Thema, keine Frage. Wird eines, sobald daraus wird: Wie gut sagt die Folge die Zahl der Spiralen in unseren Sonnenblumen voraus?</w:t>
            </w:r>
          </w:p>
        </w:tc>
      </w:tr>
      <w:tr>
        <w:trPr>
          <w:cantSplit/>
        </w:trPr>
        <w:tc>
          <w:tcPr>
            <w:tcW w:w="500" w:type="dxa"/>
            <w:shd w:val="clear" w:color="auto" w:fill="F1F4EC"/>
            <w:tcMar>
              <w:top w:w="60" w:type="dxa"/>
              <w:left w:w="90" w:type="dxa"/>
              <w:bottom w:w="60" w:type="dxa"/>
              <w:right w:w="90" w:type="dxa"/>
            </w:tcMar>
          </w:tcPr>
          <w:p>
            <w:pPr>
              <w:spacing w:after="0" w:line="264" w:lineRule="auto"/>
            </w:pPr>
            <w:r>
              <w:rPr>
                <w:rFonts w:ascii="Cambria" w:hAnsi="Cambria"/>
                <w:b/>
                <w:color w:val="1C1C1C"/>
                <w:sz w:val="17"/>
              </w:rPr>
              <w:t xml:space="preserve">4</w:t>
            </w:r>
          </w:p>
        </w:tc>
        <w:tc>
          <w:tcPr>
            <w:tcW w:w="3000" w:type="dxa"/>
            <w:shd w:val="clear" w:color="auto" w:fill="F1F4EC"/>
            <w:tcMar>
              <w:top w:w="60" w:type="dxa"/>
              <w:left w:w="90" w:type="dxa"/>
              <w:bottom w:w="60" w:type="dxa"/>
              <w:right w:w="90" w:type="dxa"/>
            </w:tcMar>
          </w:tcPr>
          <w:p>
            <w:pPr>
              <w:spacing w:after="0" w:line="264" w:lineRule="auto"/>
            </w:pPr>
            <w:r>
              <w:rPr>
                <w:rFonts w:ascii="Cambria" w:hAnsi="Cambria"/>
                <w:color w:val="1C1C1C"/>
                <w:sz w:val="17"/>
              </w:rPr>
              <w:t xml:space="preserve">Ist der Winkel, aus dem ich beim Basketball am häufigsten treffe, auch der mathematisch günstigste?</w:t>
            </w:r>
          </w:p>
        </w:tc>
        <w:tc>
          <w:tcPr>
            <w:tcW w:w="1400" w:type="dxa"/>
            <w:shd w:val="clear" w:color="auto" w:fill="F1F4EC"/>
            <w:tcMar>
              <w:top w:w="60" w:type="dxa"/>
              <w:left w:w="90" w:type="dxa"/>
              <w:bottom w:w="60" w:type="dxa"/>
              <w:right w:w="90" w:type="dxa"/>
            </w:tcMar>
          </w:tcPr>
          <w:p>
            <w:pPr>
              <w:spacing w:after="0" w:line="264" w:lineRule="auto"/>
            </w:pPr>
            <w:r>
              <w:rPr>
                <w:rFonts w:ascii="Cambria" w:hAnsi="Cambria"/>
                <w:color w:val="1C1C1C"/>
                <w:sz w:val="17"/>
              </w:rPr>
              <w:t xml:space="preserve">Erkundung</w:t>
            </w:r>
          </w:p>
        </w:tc>
        <w:tc>
          <w:tcPr>
            <w:tcW w:w="4126" w:type="dxa"/>
            <w:shd w:val="clear" w:color="auto" w:fill="F1F4EC"/>
            <w:tcMar>
              <w:top w:w="60" w:type="dxa"/>
              <w:left w:w="90" w:type="dxa"/>
              <w:bottom w:w="60" w:type="dxa"/>
              <w:right w:w="90" w:type="dxa"/>
            </w:tcMar>
          </w:tcPr>
          <w:p>
            <w:pPr>
              <w:spacing w:after="0" w:line="264" w:lineRule="auto"/>
            </w:pPr>
            <w:r>
              <w:rPr>
                <w:rFonts w:ascii="Cambria" w:hAnsi="Cambria"/>
                <w:color w:val="1C1C1C"/>
                <w:sz w:val="17"/>
              </w:rPr>
              <w:t xml:space="preserve">Eigene Trefferdaten und eine Optimierung, und die Frage vergleicht beides. Der Vergleich ist der eigene Beitrag.</w:t>
            </w:r>
          </w:p>
        </w:tc>
      </w:tr>
      <w:tr>
        <w:trPr>
          <w:cantSplit/>
        </w:trPr>
        <w:tc>
          <w:tcPr>
            <w:tcW w:w="500" w:type="dxa"/>
            <w:tcMar>
              <w:top w:w="60" w:type="dxa"/>
              <w:left w:w="90" w:type="dxa"/>
              <w:bottom w:w="60" w:type="dxa"/>
              <w:right w:w="90" w:type="dxa"/>
            </w:tcMar>
          </w:tcPr>
          <w:p>
            <w:pPr>
              <w:spacing w:after="0" w:line="264" w:lineRule="auto"/>
            </w:pPr>
            <w:r>
              <w:rPr>
                <w:rFonts w:ascii="Cambria" w:hAnsi="Cambria"/>
                <w:b/>
                <w:color w:val="1C1C1C"/>
                <w:sz w:val="17"/>
              </w:rPr>
              <w:t xml:space="preserve">5</w:t>
            </w:r>
          </w:p>
        </w:tc>
        <w:tc>
          <w:tcPr>
            <w:tcW w:w="3000" w:type="dxa"/>
            <w:tcMar>
              <w:top w:w="60" w:type="dxa"/>
              <w:left w:w="90" w:type="dxa"/>
              <w:bottom w:w="60" w:type="dxa"/>
              <w:right w:w="90" w:type="dxa"/>
            </w:tcMar>
          </w:tcPr>
          <w:p>
            <w:pPr>
              <w:spacing w:after="0" w:line="264" w:lineRule="auto"/>
            </w:pPr>
            <w:r>
              <w:rPr>
                <w:rFonts w:ascii="Cambria" w:hAnsi="Cambria"/>
                <w:color w:val="1C1C1C"/>
                <w:sz w:val="17"/>
              </w:rPr>
              <w:t xml:space="preserve">Der Satz des Pythagoras – fünf verschiedene Beweise im Überblick</w:t>
            </w:r>
          </w:p>
        </w:tc>
        <w:tc>
          <w:tcPr>
            <w:tcW w:w="1400" w:type="dxa"/>
            <w:tcMar>
              <w:top w:w="60" w:type="dxa"/>
              <w:left w:w="90" w:type="dxa"/>
              <w:bottom w:w="60" w:type="dxa"/>
              <w:right w:w="90" w:type="dxa"/>
            </w:tcMar>
          </w:tcPr>
          <w:p>
            <w:pPr>
              <w:spacing w:after="0" w:line="264" w:lineRule="auto"/>
            </w:pPr>
            <w:r>
              <w:rPr>
                <w:rFonts w:ascii="Cambria" w:hAnsi="Cambria"/>
                <w:color w:val="1C1C1C"/>
                <w:sz w:val="17"/>
              </w:rPr>
              <w:t xml:space="preserve">kommt darauf an</w:t>
            </w:r>
          </w:p>
        </w:tc>
        <w:tc>
          <w:tcPr>
            <w:tcW w:w="4126" w:type="dxa"/>
            <w:tcMar>
              <w:top w:w="60" w:type="dxa"/>
              <w:left w:w="90" w:type="dxa"/>
              <w:bottom w:w="60" w:type="dxa"/>
              <w:right w:w="90" w:type="dxa"/>
            </w:tcMar>
          </w:tcPr>
          <w:p>
            <w:pPr>
              <w:spacing w:after="0" w:line="264" w:lineRule="auto"/>
            </w:pPr>
            <w:r>
              <w:rPr>
                <w:rFonts w:ascii="Cambria" w:hAnsi="Cambria"/>
                <w:color w:val="1C1C1C"/>
                <w:sz w:val="17"/>
              </w:rPr>
              <w:t xml:space="preserve">Als Sammlung fremder Beweise reine Reproduktion. Trägt, sobald die Beweise nach einem selbst gewählten Kriterium verglichen werden – etwa: Welcher braucht die wenigsten Voraussetzungen?</w:t>
            </w:r>
          </w:p>
        </w:tc>
      </w:tr>
      <w:tr>
        <w:trPr>
          <w:cantSplit/>
        </w:trPr>
        <w:tc>
          <w:tcPr>
            <w:tcW w:w="500" w:type="dxa"/>
            <w:shd w:val="clear" w:color="auto" w:fill="F1F4EC"/>
            <w:tcMar>
              <w:top w:w="60" w:type="dxa"/>
              <w:left w:w="90" w:type="dxa"/>
              <w:bottom w:w="60" w:type="dxa"/>
              <w:right w:w="90" w:type="dxa"/>
            </w:tcMar>
          </w:tcPr>
          <w:p>
            <w:pPr>
              <w:spacing w:after="0" w:line="264" w:lineRule="auto"/>
            </w:pPr>
            <w:r>
              <w:rPr>
                <w:rFonts w:ascii="Cambria" w:hAnsi="Cambria"/>
                <w:b/>
                <w:color w:val="1C1C1C"/>
                <w:sz w:val="17"/>
              </w:rPr>
              <w:t xml:space="preserve">6</w:t>
            </w:r>
          </w:p>
        </w:tc>
        <w:tc>
          <w:tcPr>
            <w:tcW w:w="3000" w:type="dxa"/>
            <w:shd w:val="clear" w:color="auto" w:fill="F1F4EC"/>
            <w:tcMar>
              <w:top w:w="60" w:type="dxa"/>
              <w:left w:w="90" w:type="dxa"/>
              <w:bottom w:w="60" w:type="dxa"/>
              <w:right w:w="90" w:type="dxa"/>
            </w:tcMar>
          </w:tcPr>
          <w:p>
            <w:pPr>
              <w:spacing w:after="0" w:line="264" w:lineRule="auto"/>
            </w:pPr>
            <w:r>
              <w:rPr>
                <w:rFonts w:ascii="Cambria" w:hAnsi="Cambria"/>
                <w:color w:val="1C1C1C"/>
                <w:sz w:val="17"/>
              </w:rPr>
              <w:t xml:space="preserve">Wie ändert sich das Volumen eines Rotationskörpers, wenn ich die erzeugende Funktion in y-Richtung strecke?</w:t>
            </w:r>
          </w:p>
        </w:tc>
        <w:tc>
          <w:tcPr>
            <w:tcW w:w="1400" w:type="dxa"/>
            <w:shd w:val="clear" w:color="auto" w:fill="F1F4EC"/>
            <w:tcMar>
              <w:top w:w="60" w:type="dxa"/>
              <w:left w:w="90" w:type="dxa"/>
              <w:bottom w:w="60" w:type="dxa"/>
              <w:right w:w="90" w:type="dxa"/>
            </w:tcMar>
          </w:tcPr>
          <w:p>
            <w:pPr>
              <w:spacing w:after="0" w:line="264" w:lineRule="auto"/>
            </w:pPr>
            <w:r>
              <w:rPr>
                <w:rFonts w:ascii="Cambria" w:hAnsi="Cambria"/>
                <w:color w:val="1C1C1C"/>
                <w:sz w:val="17"/>
              </w:rPr>
              <w:t xml:space="preserve">Erkundung</w:t>
            </w:r>
          </w:p>
        </w:tc>
        <w:tc>
          <w:tcPr>
            <w:tcW w:w="4126" w:type="dxa"/>
            <w:shd w:val="clear" w:color="auto" w:fill="F1F4EC"/>
            <w:tcMar>
              <w:top w:w="60" w:type="dxa"/>
              <w:left w:w="90" w:type="dxa"/>
              <w:bottom w:w="60" w:type="dxa"/>
              <w:right w:w="90" w:type="dxa"/>
            </w:tcMar>
          </w:tcPr>
          <w:p>
            <w:pPr>
              <w:spacing w:after="0" w:line="264" w:lineRule="auto"/>
            </w:pPr>
            <w:r>
              <w:rPr>
                <w:rFonts w:ascii="Cambria" w:hAnsi="Cambria"/>
                <w:color w:val="1C1C1C"/>
                <w:sz w:val="17"/>
              </w:rPr>
              <w:t xml:space="preserve">Innermathematisch, aber mit eigener Frage. Lässt sich vermuten, prüfen, verallgemeinern und beweisen.</w:t>
            </w:r>
          </w:p>
        </w:tc>
      </w:tr>
      <w:tr>
        <w:trPr>
          <w:cantSplit/>
        </w:trPr>
        <w:tc>
          <w:tcPr>
            <w:tcW w:w="500" w:type="dxa"/>
            <w:tcMar>
              <w:top w:w="60" w:type="dxa"/>
              <w:left w:w="90" w:type="dxa"/>
              <w:bottom w:w="60" w:type="dxa"/>
              <w:right w:w="90" w:type="dxa"/>
            </w:tcMar>
          </w:tcPr>
          <w:p>
            <w:pPr>
              <w:spacing w:after="0" w:line="264" w:lineRule="auto"/>
            </w:pPr>
            <w:r>
              <w:rPr>
                <w:rFonts w:ascii="Cambria" w:hAnsi="Cambria"/>
                <w:b/>
                <w:color w:val="1C1C1C"/>
                <w:sz w:val="17"/>
              </w:rPr>
              <w:t xml:space="preserve">7</w:t>
            </w:r>
          </w:p>
        </w:tc>
        <w:tc>
          <w:tcPr>
            <w:tcW w:w="3000" w:type="dxa"/>
            <w:tcMar>
              <w:top w:w="60" w:type="dxa"/>
              <w:left w:w="90" w:type="dxa"/>
              <w:bottom w:w="60" w:type="dxa"/>
              <w:right w:w="90" w:type="dxa"/>
            </w:tcMar>
          </w:tcPr>
          <w:p>
            <w:pPr>
              <w:spacing w:after="0" w:line="264" w:lineRule="auto"/>
            </w:pPr>
            <w:r>
              <w:rPr>
                <w:rFonts w:ascii="Cambria" w:hAnsi="Cambria"/>
                <w:color w:val="1C1C1C"/>
                <w:sz w:val="17"/>
              </w:rPr>
              <w:t xml:space="preserve">Die Bedeutung der Mathematik für die Kryptographie</w:t>
            </w:r>
          </w:p>
        </w:tc>
        <w:tc>
          <w:tcPr>
            <w:tcW w:w="1400" w:type="dxa"/>
            <w:tcMar>
              <w:top w:w="60" w:type="dxa"/>
              <w:left w:w="90" w:type="dxa"/>
              <w:bottom w:w="60" w:type="dxa"/>
              <w:right w:w="90" w:type="dxa"/>
            </w:tcMar>
          </w:tcPr>
          <w:p>
            <w:pPr>
              <w:spacing w:after="0" w:line="264" w:lineRule="auto"/>
            </w:pPr>
            <w:r>
              <w:rPr>
                <w:rFonts w:ascii="Cambria" w:hAnsi="Cambria"/>
                <w:color w:val="1C1C1C"/>
                <w:sz w:val="17"/>
              </w:rPr>
              <w:t xml:space="preserve">keine</w:t>
            </w:r>
          </w:p>
        </w:tc>
        <w:tc>
          <w:tcPr>
            <w:tcW w:w="4126" w:type="dxa"/>
            <w:tcMar>
              <w:top w:w="60" w:type="dxa"/>
              <w:left w:w="90" w:type="dxa"/>
              <w:bottom w:w="60" w:type="dxa"/>
              <w:right w:w="90" w:type="dxa"/>
            </w:tcMar>
          </w:tcPr>
          <w:p>
            <w:pPr>
              <w:spacing w:after="0" w:line="264" w:lineRule="auto"/>
            </w:pPr>
            <w:r>
              <w:rPr>
                <w:rFonts w:ascii="Cambria" w:hAnsi="Cambria"/>
                <w:color w:val="1C1C1C"/>
                <w:sz w:val="17"/>
              </w:rPr>
              <w:t xml:space="preserve">Referatsthema. Keine Frage, keine eigene Mathematik, kein eigener Zugriff.</w:t>
            </w:r>
          </w:p>
        </w:tc>
      </w:tr>
      <w:tr>
        <w:trPr>
          <w:cantSplit/>
        </w:trPr>
        <w:tc>
          <w:tcPr>
            <w:tcW w:w="500" w:type="dxa"/>
            <w:shd w:val="clear" w:color="auto" w:fill="F1F4EC"/>
            <w:tcMar>
              <w:top w:w="60" w:type="dxa"/>
              <w:left w:w="90" w:type="dxa"/>
              <w:bottom w:w="60" w:type="dxa"/>
              <w:right w:w="90" w:type="dxa"/>
            </w:tcMar>
          </w:tcPr>
          <w:p>
            <w:pPr>
              <w:spacing w:after="0" w:line="264" w:lineRule="auto"/>
            </w:pPr>
            <w:r>
              <w:rPr>
                <w:rFonts w:ascii="Cambria" w:hAnsi="Cambria"/>
                <w:b/>
                <w:color w:val="1C1C1C"/>
                <w:sz w:val="17"/>
              </w:rPr>
              <w:t xml:space="preserve">8</w:t>
            </w:r>
          </w:p>
        </w:tc>
        <w:tc>
          <w:tcPr>
            <w:tcW w:w="3000" w:type="dxa"/>
            <w:shd w:val="clear" w:color="auto" w:fill="F1F4EC"/>
            <w:tcMar>
              <w:top w:w="60" w:type="dxa"/>
              <w:left w:w="90" w:type="dxa"/>
              <w:bottom w:w="60" w:type="dxa"/>
              <w:right w:w="90" w:type="dxa"/>
            </w:tcMar>
          </w:tcPr>
          <w:p>
            <w:pPr>
              <w:spacing w:after="0" w:line="264" w:lineRule="auto"/>
            </w:pPr>
            <w:r>
              <w:rPr>
                <w:rFonts w:ascii="Cambria" w:hAnsi="Cambria"/>
                <w:color w:val="1C1C1C"/>
                <w:sz w:val="17"/>
              </w:rPr>
              <w:t xml:space="preserve">Welcher von drei Handytarifen wäre für mein tatsächliches Nutzungsverhalten der letzten sechs Monate der günstigste gewesen?</w:t>
            </w:r>
          </w:p>
        </w:tc>
        <w:tc>
          <w:tcPr>
            <w:tcW w:w="1400" w:type="dxa"/>
            <w:shd w:val="clear" w:color="auto" w:fill="F1F4EC"/>
            <w:tcMar>
              <w:top w:w="60" w:type="dxa"/>
              <w:left w:w="90" w:type="dxa"/>
              <w:bottom w:w="60" w:type="dxa"/>
              <w:right w:w="90" w:type="dxa"/>
            </w:tcMar>
          </w:tcPr>
          <w:p>
            <w:pPr>
              <w:spacing w:after="0" w:line="264" w:lineRule="auto"/>
            </w:pPr>
            <w:r>
              <w:rPr>
                <w:rFonts w:ascii="Cambria" w:hAnsi="Cambria"/>
                <w:color w:val="1C1C1C"/>
                <w:sz w:val="17"/>
              </w:rPr>
              <w:t xml:space="preserve">Erkundung</w:t>
            </w:r>
          </w:p>
        </w:tc>
        <w:tc>
          <w:tcPr>
            <w:tcW w:w="4126" w:type="dxa"/>
            <w:shd w:val="clear" w:color="auto" w:fill="F1F4EC"/>
            <w:tcMar>
              <w:top w:w="60" w:type="dxa"/>
              <w:left w:w="90" w:type="dxa"/>
              <w:bottom w:w="60" w:type="dxa"/>
              <w:right w:w="90" w:type="dxa"/>
            </w:tcMar>
          </w:tcPr>
          <w:p>
            <w:pPr>
              <w:spacing w:after="0" w:line="264" w:lineRule="auto"/>
            </w:pPr>
            <w:r>
              <w:rPr>
                <w:rFonts w:ascii="Cambria" w:hAnsi="Cambria"/>
                <w:color w:val="1C1C1C"/>
                <w:sz w:val="17"/>
              </w:rPr>
              <w:t xml:space="preserve">Echte Entscheidung, eigene Daten, mindestens zwei Möglichkeiten im Vergleich. Vorsicht: Die Mathematik muss über Dreisatz hinausgehen – Kostenfunktionen und ihre Schnittpunkte.</w:t>
            </w:r>
          </w:p>
        </w:tc>
      </w:tr>
      <w:tr>
        <w:trPr>
          <w:cantSplit/>
        </w:trPr>
        <w:tc>
          <w:tcPr>
            <w:tcW w:w="500" w:type="dxa"/>
            <w:tcMar>
              <w:top w:w="60" w:type="dxa"/>
              <w:left w:w="90" w:type="dxa"/>
              <w:bottom w:w="60" w:type="dxa"/>
              <w:right w:w="90" w:type="dxa"/>
            </w:tcMar>
          </w:tcPr>
          <w:p>
            <w:pPr>
              <w:spacing w:after="0" w:line="264" w:lineRule="auto"/>
            </w:pPr>
            <w:r>
              <w:rPr>
                <w:rFonts w:ascii="Cambria" w:hAnsi="Cambria"/>
                <w:b/>
                <w:color w:val="1C1C1C"/>
                <w:sz w:val="17"/>
              </w:rPr>
              <w:t xml:space="preserve">9</w:t>
            </w:r>
          </w:p>
        </w:tc>
        <w:tc>
          <w:tcPr>
            <w:tcW w:w="3000" w:type="dxa"/>
            <w:tcMar>
              <w:top w:w="60" w:type="dxa"/>
              <w:left w:w="90" w:type="dxa"/>
              <w:bottom w:w="60" w:type="dxa"/>
              <w:right w:w="90" w:type="dxa"/>
            </w:tcMar>
          </w:tcPr>
          <w:p>
            <w:pPr>
              <w:spacing w:after="0" w:line="264" w:lineRule="auto"/>
            </w:pPr>
            <w:r>
              <w:rPr>
                <w:rFonts w:ascii="Cambria" w:hAnsi="Cambria"/>
                <w:color w:val="1C1C1C"/>
                <w:sz w:val="17"/>
              </w:rPr>
              <w:t xml:space="preserve">Die Normalverteilung</w:t>
            </w:r>
          </w:p>
        </w:tc>
        <w:tc>
          <w:tcPr>
            <w:tcW w:w="1400" w:type="dxa"/>
            <w:tcMar>
              <w:top w:w="60" w:type="dxa"/>
              <w:left w:w="90" w:type="dxa"/>
              <w:bottom w:w="60" w:type="dxa"/>
              <w:right w:w="90" w:type="dxa"/>
            </w:tcMar>
          </w:tcPr>
          <w:p>
            <w:pPr>
              <w:spacing w:after="0" w:line="264" w:lineRule="auto"/>
            </w:pPr>
            <w:r>
              <w:rPr>
                <w:rFonts w:ascii="Cambria" w:hAnsi="Cambria"/>
                <w:color w:val="1C1C1C"/>
                <w:sz w:val="17"/>
              </w:rPr>
              <w:t xml:space="preserve">keine</w:t>
            </w:r>
          </w:p>
        </w:tc>
        <w:tc>
          <w:tcPr>
            <w:tcW w:w="4126" w:type="dxa"/>
            <w:tcMar>
              <w:top w:w="60" w:type="dxa"/>
              <w:left w:w="90" w:type="dxa"/>
              <w:bottom w:w="60" w:type="dxa"/>
              <w:right w:w="90" w:type="dxa"/>
            </w:tcMar>
          </w:tcPr>
          <w:p>
            <w:pPr>
              <w:spacing w:after="0" w:line="264" w:lineRule="auto"/>
            </w:pPr>
            <w:r>
              <w:rPr>
                <w:rFonts w:ascii="Cambria" w:hAnsi="Cambria"/>
                <w:color w:val="1C1C1C"/>
                <w:sz w:val="17"/>
              </w:rPr>
              <w:t xml:space="preserve">Ein Lehrplankapitel, kein Vorhaben.</w:t>
            </w:r>
          </w:p>
        </w:tc>
      </w:tr>
      <w:tr>
        <w:trPr>
          <w:cantSplit/>
        </w:trPr>
        <w:tc>
          <w:tcPr>
            <w:tcW w:w="500" w:type="dxa"/>
            <w:shd w:val="clear" w:color="auto" w:fill="F1F4EC"/>
            <w:tcMar>
              <w:top w:w="60" w:type="dxa"/>
              <w:left w:w="90" w:type="dxa"/>
              <w:bottom w:w="60" w:type="dxa"/>
              <w:right w:w="90" w:type="dxa"/>
            </w:tcMar>
          </w:tcPr>
          <w:p>
            <w:pPr>
              <w:spacing w:after="0" w:line="264" w:lineRule="auto"/>
            </w:pPr>
            <w:r>
              <w:rPr>
                <w:rFonts w:ascii="Cambria" w:hAnsi="Cambria"/>
                <w:b/>
                <w:color w:val="1C1C1C"/>
                <w:sz w:val="17"/>
              </w:rPr>
              <w:t xml:space="preserve">10</w:t>
            </w:r>
          </w:p>
        </w:tc>
        <w:tc>
          <w:tcPr>
            <w:tcW w:w="3000" w:type="dxa"/>
            <w:shd w:val="clear" w:color="auto" w:fill="F1F4EC"/>
            <w:tcMar>
              <w:top w:w="60" w:type="dxa"/>
              <w:left w:w="90" w:type="dxa"/>
              <w:bottom w:w="60" w:type="dxa"/>
              <w:right w:w="90" w:type="dxa"/>
            </w:tcMar>
          </w:tcPr>
          <w:p>
            <w:pPr>
              <w:spacing w:after="0" w:line="264" w:lineRule="auto"/>
            </w:pPr>
            <w:r>
              <w:rPr>
                <w:rFonts w:ascii="Cambria" w:hAnsi="Cambria"/>
                <w:color w:val="1C1C1C"/>
                <w:sz w:val="17"/>
              </w:rPr>
              <w:t xml:space="preserve">Wie hoch müsste ein Riesenrad sein, damit man im höchsten Punkt schwerelos wird?</w:t>
            </w:r>
          </w:p>
        </w:tc>
        <w:tc>
          <w:tcPr>
            <w:tcW w:w="1400" w:type="dxa"/>
            <w:shd w:val="clear" w:color="auto" w:fill="F1F4EC"/>
            <w:tcMar>
              <w:top w:w="60" w:type="dxa"/>
              <w:left w:w="90" w:type="dxa"/>
              <w:bottom w:w="60" w:type="dxa"/>
              <w:right w:w="90" w:type="dxa"/>
            </w:tcMar>
          </w:tcPr>
          <w:p>
            <w:pPr>
              <w:spacing w:after="0" w:line="264" w:lineRule="auto"/>
            </w:pPr>
            <w:r>
              <w:rPr>
                <w:rFonts w:ascii="Cambria" w:hAnsi="Cambria"/>
                <w:color w:val="1C1C1C"/>
                <w:sz w:val="17"/>
              </w:rPr>
              <w:t xml:space="preserve">kommt darauf an</w:t>
            </w:r>
          </w:p>
        </w:tc>
        <w:tc>
          <w:tcPr>
            <w:tcW w:w="4126" w:type="dxa"/>
            <w:shd w:val="clear" w:color="auto" w:fill="F1F4EC"/>
            <w:tcMar>
              <w:top w:w="60" w:type="dxa"/>
              <w:left w:w="90" w:type="dxa"/>
              <w:bottom w:w="60" w:type="dxa"/>
              <w:right w:w="90" w:type="dxa"/>
            </w:tcMar>
          </w:tcPr>
          <w:p>
            <w:pPr>
              <w:spacing w:after="0" w:line="264" w:lineRule="auto"/>
            </w:pPr>
            <w:r>
              <w:rPr>
                <w:rFonts w:ascii="Cambria" w:hAnsi="Cambria"/>
                <w:color w:val="1C1C1C"/>
                <w:sz w:val="17"/>
              </w:rPr>
              <w:t xml:space="preserve">Die Rechnung ist nach einer halben Seite fertig. Trägt erst mit Erweiterung: Abhängigkeit von Radius und Umlaufzeit, Vergleich mit realen Riesenrädern, Grenzen des Modells.</w:t>
            </w:r>
          </w:p>
        </w:tc>
      </w:tr>
      <w:tr>
        <w:trPr>
          <w:cantSplit/>
        </w:trPr>
        <w:tc>
          <w:tcPr>
            <w:tcW w:w="500" w:type="dxa"/>
            <w:tcMar>
              <w:top w:w="60" w:type="dxa"/>
              <w:left w:w="90" w:type="dxa"/>
              <w:bottom w:w="60" w:type="dxa"/>
              <w:right w:w="90" w:type="dxa"/>
            </w:tcMar>
          </w:tcPr>
          <w:p>
            <w:pPr>
              <w:spacing w:after="0" w:line="264" w:lineRule="auto"/>
            </w:pPr>
            <w:r>
              <w:rPr>
                <w:rFonts w:ascii="Cambria" w:hAnsi="Cambria"/>
                <w:b/>
                <w:color w:val="1C1C1C"/>
                <w:sz w:val="17"/>
              </w:rPr>
              <w:t xml:space="preserve">11</w:t>
            </w:r>
          </w:p>
        </w:tc>
        <w:tc>
          <w:tcPr>
            <w:tcW w:w="3000" w:type="dxa"/>
            <w:tcMar>
              <w:top w:w="60" w:type="dxa"/>
              <w:left w:w="90" w:type="dxa"/>
              <w:bottom w:w="60" w:type="dxa"/>
              <w:right w:w="90" w:type="dxa"/>
            </w:tcMar>
          </w:tcPr>
          <w:p>
            <w:pPr>
              <w:spacing w:after="0" w:line="264" w:lineRule="auto"/>
            </w:pPr>
            <w:r>
              <w:rPr>
                <w:rFonts w:ascii="Cambria" w:hAnsi="Cambria"/>
                <w:color w:val="1C1C1C"/>
                <w:sz w:val="17"/>
              </w:rPr>
              <w:t xml:space="preserve">Zwei Näherungsverfahren zur Nullstellenbestimmung an einer selbst gewählten Funktion: Welches braucht wie viele Schritte?</w:t>
            </w:r>
          </w:p>
        </w:tc>
        <w:tc>
          <w:tcPr>
            <w:tcW w:w="1400" w:type="dxa"/>
            <w:tcMar>
              <w:top w:w="60" w:type="dxa"/>
              <w:left w:w="90" w:type="dxa"/>
              <w:bottom w:w="60" w:type="dxa"/>
              <w:right w:w="90" w:type="dxa"/>
            </w:tcMar>
          </w:tcPr>
          <w:p>
            <w:pPr>
              <w:spacing w:after="0" w:line="264" w:lineRule="auto"/>
            </w:pPr>
            <w:r>
              <w:rPr>
                <w:rFonts w:ascii="Cambria" w:hAnsi="Cambria"/>
                <w:color w:val="1C1C1C"/>
                <w:sz w:val="17"/>
              </w:rPr>
              <w:t xml:space="preserve">Erkundung</w:t>
            </w:r>
          </w:p>
        </w:tc>
        <w:tc>
          <w:tcPr>
            <w:tcW w:w="4126" w:type="dxa"/>
            <w:tcMar>
              <w:top w:w="60" w:type="dxa"/>
              <w:left w:w="90" w:type="dxa"/>
              <w:bottom w:w="60" w:type="dxa"/>
              <w:right w:w="90" w:type="dxa"/>
            </w:tcMar>
          </w:tcPr>
          <w:p>
            <w:pPr>
              <w:spacing w:after="0" w:line="264" w:lineRule="auto"/>
            </w:pPr>
            <w:r>
              <w:rPr>
                <w:rFonts w:ascii="Cambria" w:hAnsi="Cambria"/>
                <w:color w:val="1C1C1C"/>
                <w:sz w:val="17"/>
              </w:rPr>
              <w:t xml:space="preserve">Vergleich zweier Zugänge an einer selbst gewählten Funktion. Die Konvergenz lässt sich untersuchen und begründen.</w:t>
            </w:r>
          </w:p>
        </w:tc>
      </w:tr>
      <w:tr>
        <w:trPr>
          <w:cantSplit/>
        </w:trPr>
        <w:tc>
          <w:tcPr>
            <w:tcW w:w="500" w:type="dxa"/>
            <w:shd w:val="clear" w:color="auto" w:fill="F1F4EC"/>
            <w:tcMar>
              <w:top w:w="60" w:type="dxa"/>
              <w:left w:w="90" w:type="dxa"/>
              <w:bottom w:w="60" w:type="dxa"/>
              <w:right w:w="90" w:type="dxa"/>
            </w:tcMar>
          </w:tcPr>
          <w:p>
            <w:pPr>
              <w:spacing w:after="0" w:line="264" w:lineRule="auto"/>
            </w:pPr>
            <w:r>
              <w:rPr>
                <w:rFonts w:ascii="Cambria" w:hAnsi="Cambria"/>
                <w:b/>
                <w:color w:val="1C1C1C"/>
                <w:sz w:val="17"/>
              </w:rPr>
              <w:t xml:space="preserve">12</w:t>
            </w:r>
          </w:p>
        </w:tc>
        <w:tc>
          <w:tcPr>
            <w:tcW w:w="3000" w:type="dxa"/>
            <w:shd w:val="clear" w:color="auto" w:fill="F1F4EC"/>
            <w:tcMar>
              <w:top w:w="60" w:type="dxa"/>
              <w:left w:w="90" w:type="dxa"/>
              <w:bottom w:w="60" w:type="dxa"/>
              <w:right w:w="90" w:type="dxa"/>
            </w:tcMar>
          </w:tcPr>
          <w:p>
            <w:pPr>
              <w:spacing w:after="0" w:line="264" w:lineRule="auto"/>
            </w:pPr>
            <w:r>
              <w:rPr>
                <w:rFonts w:ascii="Cambria" w:hAnsi="Cambria"/>
                <w:color w:val="1C1C1C"/>
                <w:sz w:val="17"/>
              </w:rPr>
              <w:t xml:space="preserve">Sind die Sternebewertungen in einer App-Store-Kategorie manipuliert? Ein Test mit dem benfordschen Gesetz.</w:t>
            </w:r>
          </w:p>
        </w:tc>
        <w:tc>
          <w:tcPr>
            <w:tcW w:w="1400" w:type="dxa"/>
            <w:shd w:val="clear" w:color="auto" w:fill="F1F4EC"/>
            <w:tcMar>
              <w:top w:w="60" w:type="dxa"/>
              <w:left w:w="90" w:type="dxa"/>
              <w:bottom w:w="60" w:type="dxa"/>
              <w:right w:w="90" w:type="dxa"/>
            </w:tcMar>
          </w:tcPr>
          <w:p>
            <w:pPr>
              <w:spacing w:after="0" w:line="264" w:lineRule="auto"/>
            </w:pPr>
            <w:r>
              <w:rPr>
                <w:rFonts w:ascii="Cambria" w:hAnsi="Cambria"/>
                <w:color w:val="1C1C1C"/>
                <w:sz w:val="17"/>
              </w:rPr>
              <w:t xml:space="preserve">kommt darauf an</w:t>
            </w:r>
          </w:p>
        </w:tc>
        <w:tc>
          <w:tcPr>
            <w:tcW w:w="4126" w:type="dxa"/>
            <w:shd w:val="clear" w:color="auto" w:fill="F1F4EC"/>
            <w:tcMar>
              <w:top w:w="60" w:type="dxa"/>
              <w:left w:w="90" w:type="dxa"/>
              <w:bottom w:w="60" w:type="dxa"/>
              <w:right w:w="90" w:type="dxa"/>
            </w:tcMar>
          </w:tcPr>
          <w:p>
            <w:pPr>
              <w:spacing w:after="0" w:line="264" w:lineRule="auto"/>
            </w:pPr>
            <w:r>
              <w:rPr>
                <w:rFonts w:ascii="Cambria" w:hAnsi="Cambria"/>
                <w:color w:val="1C1C1C"/>
                <w:sz w:val="17"/>
              </w:rPr>
              <w:t xml:space="preserve">Die beste Falle im Satz: Die Frage klingt hervorragend, aber das benfordsche Gesetz gilt für Zahlen über mehrere Größenordnungen – nicht für Werte zwischen 1 und 5. Trägt, sobald stattdessen die Anzahl der Bewertungen je App untersucht wird.</w:t>
            </w:r>
          </w:p>
        </w:tc>
      </w:tr>
    </w:tbl>
    <w:p>
      <w:pPr>
        <w:spacing w:after="120" w:line="288" w:lineRule="auto"/>
      </w:pP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1F4EC"/>
            <w:tcBorders>
              <w:left w:val="single" w:sz="26" w:space="0" w:color="8FB840"/>
            </w:tcBorders>
            <w:tcMar>
              <w:top w:w="150" w:type="dxa"/>
              <w:left w:w="220" w:type="dxa"/>
              <w:bottom w:w="150" w:type="dxa"/>
              <w:right w:w="200" w:type="dxa"/>
            </w:tcMar>
          </w:tcPr>
          <w:p>
            <w:pPr>
              <w:spacing w:after="80" w:line="288" w:lineRule="auto"/>
            </w:pPr>
            <w:r>
              <w:rPr>
                <w:rFonts w:ascii="Calibri" w:hAnsi="Calibri"/>
                <w:b/>
                <w:color w:val="0F3D2A"/>
                <w:sz w:val="22"/>
              </w:rPr>
              <w:t xml:space="preserve">Worauf die Auswertung hinausläuft</w:t>
            </w:r>
          </w:p>
          <w:p>
            <w:pPr>
              <w:spacing w:after="60" w:line="288" w:lineRule="auto"/>
            </w:pPr>
            <w:r>
              <w:rPr>
                <w:rFonts w:ascii="Cambria" w:hAnsi="Cambria"/>
                <w:color w:val="1C1C1C"/>
                <w:sz w:val="20"/>
              </w:rPr>
              <w:t xml:space="preserve">Die Stapel „keine“ tragen alle dasselbe Merkmal: ein Thema statt einer Frage. Die Stapel „kommt darauf an“ haben eine Frage, aber zu wenig Mathematik oder die falsche. Nur der erste Stapel hat beides.</w:t>
            </w:r>
          </w:p>
          <w:p>
            <w:pPr>
              <w:spacing w:after="60" w:line="288" w:lineRule="auto"/>
            </w:pPr>
            <w:r>
              <w:rPr>
                <w:rFonts w:ascii="Cambria" w:hAnsi="Cambria"/>
                <w:color w:val="1C1C1C"/>
                <w:sz w:val="20"/>
              </w:rPr>
              <w:t xml:space="preserve">Karte 12 lohnt die meiste Zeit. Wer merkt, dass das Verfahren nicht zu den Daten passt, hat genau die Prüfung vollzogen, um die es in Kriterium E geht.</w:t>
            </w:r>
          </w:p>
        </w:tc>
      </w:tr>
    </w:tbl>
    <w:p>
      <w:pPr>
        <w:spacing w:after="120" w:line="288" w:lineRule="auto"/>
      </w:pPr>
    </w:p>
    <w:p>
      <w:r>
        <w:br w:type="page"/>
      </w:r>
    </w:p>
    <w:p>
      <w:pPr>
        <w:pStyle w:val="KPKapitel"/>
        <w:spacing w:line="288" w:lineRule="auto"/>
      </w:pPr>
      <w:r>
        <w:rPr>
          <w:rFonts w:ascii="Calibri" w:hAnsi="Calibri"/>
          <w:b/>
          <w:color w:val="0F3D2A"/>
          <w:sz w:val="32"/>
        </w:rPr>
        <w:t xml:space="preserve">Zu M 9: Trichterblatt</w:t>
      </w:r>
    </w:p>
    <w:p>
      <w:pPr>
        <w:pStyle w:val="KPKlein"/>
        <w:spacing w:line="288" w:lineRule="auto"/>
      </w:pPr>
      <w:r>
        <w:rPr>
          <w:rFonts w:ascii="Calibri" w:hAnsi="Calibri"/>
          <w:color w:val="5E5E5E"/>
          <w:sz w:val="18"/>
        </w:rPr>
        <w:t xml:space="preserve">Zwei gelungene Trichter und ein gescheiterter. Die gescheiterte Fassung ist die lehrreichste – sie zeigt, dass der Fehler fast immer auf Stufe 2 passiert.</w:t>
      </w:r>
    </w:p>
    <w:p>
      <w:pPr>
        <w:pStyle w:val="KPAbschnitt"/>
        <w:spacing w:line="288" w:lineRule="auto"/>
      </w:pPr>
      <w:r>
        <w:rPr>
          <w:rFonts w:ascii="Calibri" w:hAnsi="Calibri"/>
          <w:b/>
          <w:color w:val="8FB840"/>
          <w:sz w:val="24"/>
        </w:rPr>
        <w:t xml:space="preserve">Standard Level  ·  Bauart Modellierung   </w:t>
      </w:r>
      <w:r>
        <w:rPr>
          <w:rFonts w:ascii="Calibri" w:hAnsi="Calibri"/>
          <w:b/>
          <w:color w:val="0F3D2A"/>
          <w:sz w:val="24"/>
        </w:rPr>
        <w:t xml:space="preserve">Beispiel 1</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1900"/>
        <w:gridCol w:w="7126"/>
      </w:tblGrid>
      <w:tr>
        <w:trPr>
          <w:tblHeader w:val="true"/>
          <w:cantSplit/>
        </w:trPr>
        <w:tc>
          <w:tcPr>
            <w:tcW w:w="19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Stufe</w:t>
            </w:r>
          </w:p>
        </w:tc>
        <w:tc>
          <w:tcPr>
            <w:tcW w:w="71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Eintragung</w:t>
            </w:r>
          </w:p>
        </w:tc>
      </w:tr>
      <w:tr>
        <w:trPr>
          <w:cantSplit/>
        </w:trPr>
        <w:tc>
          <w:tcPr>
            <w:tcW w:w="1900" w:type="dxa"/>
            <w:tcMar>
              <w:top w:w="60" w:type="dxa"/>
              <w:left w:w="90" w:type="dxa"/>
              <w:bottom w:w="60" w:type="dxa"/>
              <w:right w:w="90" w:type="dxa"/>
            </w:tcMar>
          </w:tcPr>
          <w:p>
            <w:pPr>
              <w:spacing w:after="0" w:line="264" w:lineRule="auto"/>
            </w:pPr>
            <w:r>
              <w:rPr>
                <w:rFonts w:ascii="Cambria" w:hAnsi="Cambria"/>
                <w:b/>
                <w:color w:val="1C1C1C"/>
                <w:sz w:val="19"/>
              </w:rPr>
              <w:t xml:space="preserve">1. Interessenfeld</w:t>
            </w:r>
          </w:p>
        </w:tc>
        <w:tc>
          <w:tcPr>
            <w:tcW w:w="7126" w:type="dxa"/>
            <w:tcMar>
              <w:top w:w="60" w:type="dxa"/>
              <w:left w:w="90" w:type="dxa"/>
              <w:bottom w:w="60" w:type="dxa"/>
              <w:right w:w="90" w:type="dxa"/>
            </w:tcMar>
          </w:tcPr>
          <w:p>
            <w:pPr>
              <w:spacing w:after="0" w:line="264" w:lineRule="auto"/>
            </w:pPr>
            <w:r>
              <w:rPr>
                <w:rFonts w:ascii="Cambria" w:hAnsi="Cambria"/>
                <w:color w:val="1C1C1C"/>
                <w:sz w:val="19"/>
              </w:rPr>
              <w:t xml:space="preserve">Kaffee</w:t>
            </w:r>
          </w:p>
        </w:tc>
      </w:tr>
      <w:tr>
        <w:trPr>
          <w:cantSplit/>
        </w:trPr>
        <w:tc>
          <w:tcPr>
            <w:tcW w:w="1900" w:type="dxa"/>
            <w:shd w:val="clear" w:color="auto" w:fill="F1F4EC"/>
            <w:tcMar>
              <w:top w:w="60" w:type="dxa"/>
              <w:left w:w="90" w:type="dxa"/>
              <w:bottom w:w="60" w:type="dxa"/>
              <w:right w:w="90" w:type="dxa"/>
            </w:tcMar>
          </w:tcPr>
          <w:p>
            <w:pPr>
              <w:spacing w:after="0" w:line="264" w:lineRule="auto"/>
            </w:pPr>
            <w:r>
              <w:rPr>
                <w:rFonts w:ascii="Cambria" w:hAnsi="Cambria"/>
                <w:b/>
                <w:color w:val="1C1C1C"/>
                <w:sz w:val="19"/>
              </w:rPr>
              <w:t xml:space="preserve">2. Phänomen</w:t>
            </w:r>
          </w:p>
        </w:tc>
        <w:tc>
          <w:tcPr>
            <w:tcW w:w="7126"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Morgens ist er zu heiß, nach dem Zähneputzen fast kalt. Das Zeitfenster dazwischen fühlt sich jedes Mal anders lang an.</w:t>
            </w:r>
          </w:p>
        </w:tc>
      </w:tr>
      <w:tr>
        <w:trPr>
          <w:cantSplit/>
        </w:trPr>
        <w:tc>
          <w:tcPr>
            <w:tcW w:w="1900" w:type="dxa"/>
            <w:tcMar>
              <w:top w:w="60" w:type="dxa"/>
              <w:left w:w="90" w:type="dxa"/>
              <w:bottom w:w="60" w:type="dxa"/>
              <w:right w:w="90" w:type="dxa"/>
            </w:tcMar>
          </w:tcPr>
          <w:p>
            <w:pPr>
              <w:spacing w:after="0" w:line="264" w:lineRule="auto"/>
            </w:pPr>
            <w:r>
              <w:rPr>
                <w:rFonts w:ascii="Cambria" w:hAnsi="Cambria"/>
                <w:b/>
                <w:color w:val="1C1C1C"/>
                <w:sz w:val="19"/>
              </w:rPr>
              <w:t xml:space="preserve">3. Frage</w:t>
            </w:r>
          </w:p>
        </w:tc>
        <w:tc>
          <w:tcPr>
            <w:tcW w:w="7126" w:type="dxa"/>
            <w:tcMar>
              <w:top w:w="60" w:type="dxa"/>
              <w:left w:w="90" w:type="dxa"/>
              <w:bottom w:w="60" w:type="dxa"/>
              <w:right w:w="90" w:type="dxa"/>
            </w:tcMar>
          </w:tcPr>
          <w:p>
            <w:pPr>
              <w:spacing w:after="0" w:line="264" w:lineRule="auto"/>
            </w:pPr>
            <w:r>
              <w:rPr>
                <w:rFonts w:ascii="Cambria" w:hAnsi="Cambria"/>
                <w:color w:val="1C1C1C"/>
                <w:sz w:val="19"/>
              </w:rPr>
              <w:t xml:space="preserve">Wie gut beschreibt ein exponentielles Modell die Abkühlung meines Kaffees, und wann erreicht er die Trinktemperatur von 55 °C?</w:t>
            </w:r>
          </w:p>
        </w:tc>
      </w:tr>
      <w:tr>
        <w:trPr>
          <w:cantSplit/>
        </w:trPr>
        <w:tc>
          <w:tcPr>
            <w:tcW w:w="1900" w:type="dxa"/>
            <w:shd w:val="clear" w:color="auto" w:fill="F1F4EC"/>
            <w:tcMar>
              <w:top w:w="60" w:type="dxa"/>
              <w:left w:w="90" w:type="dxa"/>
              <w:bottom w:w="60" w:type="dxa"/>
              <w:right w:w="90" w:type="dxa"/>
            </w:tcMar>
          </w:tcPr>
          <w:p>
            <w:pPr>
              <w:spacing w:after="0" w:line="264" w:lineRule="auto"/>
            </w:pPr>
            <w:r>
              <w:rPr>
                <w:rFonts w:ascii="Cambria" w:hAnsi="Cambria"/>
                <w:b/>
                <w:color w:val="1C1C1C"/>
                <w:sz w:val="19"/>
              </w:rPr>
              <w:t xml:space="preserve">4. Mathematik</w:t>
            </w:r>
          </w:p>
        </w:tc>
        <w:tc>
          <w:tcPr>
            <w:tcW w:w="7126" w:type="dxa"/>
            <w:shd w:val="clear" w:color="auto" w:fill="F1F4EC"/>
            <w:tcMar>
              <w:top w:w="60" w:type="dxa"/>
              <w:left w:w="90" w:type="dxa"/>
              <w:bottom w:w="60" w:type="dxa"/>
              <w:right w:w="90" w:type="dxa"/>
            </w:tcMar>
          </w:tcPr>
          <w:p>
            <w:pPr>
              <w:spacing w:after="40" w:line="264" w:lineRule="auto"/>
            </w:pPr>
            <w:r>
              <w:rPr>
                <w:rFonts w:ascii="Cambria" w:hAnsi="Cambria"/>
                <w:color w:val="1C1C1C"/>
                <w:sz w:val="19"/>
              </w:rPr>
              <w:t xml:space="preserve">Exponentialfunktion und Exponentialgleichung (B 2.7, B 2.9), Linearisierung mit Logarithmengesetzen (B 2.8), lineare Regression (B 4.2), Ableitung mit der Kettenregel (B 5.3).</w:t>
            </w:r>
          </w:p>
          <w:p>
            <w:pPr>
              <w:spacing w:after="0" w:line="264" w:lineRule="auto"/>
            </w:pPr>
            <w:r>
              <w:rPr>
                <w:rFonts w:ascii="Cambria" w:hAnsi="Cambria"/>
                <w:color w:val="1C1C1C"/>
                <w:sz w:val="19"/>
              </w:rPr>
              <w:t xml:space="preserve">Daten: eigene Messreihe, 15 Werte alle drei Minuten, Küchenthermometer.</w:t>
            </w:r>
          </w:p>
        </w:tc>
      </w:tr>
    </w:tbl>
    <w:p>
      <w:pPr>
        <w:spacing w:after="120" w:line="288" w:lineRule="auto"/>
      </w:pPr>
    </w:p>
    <w:p>
      <w:pPr>
        <w:pStyle w:val="KPAbschnitt"/>
        <w:spacing w:line="288" w:lineRule="auto"/>
      </w:pPr>
      <w:r>
        <w:rPr>
          <w:rFonts w:ascii="Calibri" w:hAnsi="Calibri"/>
          <w:b/>
          <w:color w:val="8FB840"/>
          <w:sz w:val="24"/>
        </w:rPr>
        <w:t xml:space="preserve">Higher Level  ·  Bauart Anwendung   </w:t>
      </w:r>
      <w:r>
        <w:rPr>
          <w:rFonts w:ascii="Calibri" w:hAnsi="Calibri"/>
          <w:b/>
          <w:color w:val="0F3D2A"/>
          <w:sz w:val="24"/>
        </w:rPr>
        <w:t xml:space="preserve">Beispiel 2</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1900"/>
        <w:gridCol w:w="7126"/>
      </w:tblGrid>
      <w:tr>
        <w:trPr>
          <w:tblHeader w:val="true"/>
          <w:cantSplit/>
        </w:trPr>
        <w:tc>
          <w:tcPr>
            <w:tcW w:w="19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Stufe</w:t>
            </w:r>
          </w:p>
        </w:tc>
        <w:tc>
          <w:tcPr>
            <w:tcW w:w="71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Eintragung</w:t>
            </w:r>
          </w:p>
        </w:tc>
      </w:tr>
      <w:tr>
        <w:trPr>
          <w:cantSplit/>
        </w:trPr>
        <w:tc>
          <w:tcPr>
            <w:tcW w:w="1900" w:type="dxa"/>
            <w:tcMar>
              <w:top w:w="60" w:type="dxa"/>
              <w:left w:w="90" w:type="dxa"/>
              <w:bottom w:w="60" w:type="dxa"/>
              <w:right w:w="90" w:type="dxa"/>
            </w:tcMar>
          </w:tcPr>
          <w:p>
            <w:pPr>
              <w:spacing w:after="0" w:line="264" w:lineRule="auto"/>
            </w:pPr>
            <w:r>
              <w:rPr>
                <w:rFonts w:ascii="Cambria" w:hAnsi="Cambria"/>
                <w:b/>
                <w:color w:val="1C1C1C"/>
                <w:sz w:val="19"/>
              </w:rPr>
              <w:t xml:space="preserve">1. Interessenfeld</w:t>
            </w:r>
          </w:p>
        </w:tc>
        <w:tc>
          <w:tcPr>
            <w:tcW w:w="7126" w:type="dxa"/>
            <w:tcMar>
              <w:top w:w="60" w:type="dxa"/>
              <w:left w:w="90" w:type="dxa"/>
              <w:bottom w:w="60" w:type="dxa"/>
              <w:right w:w="90" w:type="dxa"/>
            </w:tcMar>
          </w:tcPr>
          <w:p>
            <w:pPr>
              <w:spacing w:after="0" w:line="264" w:lineRule="auto"/>
            </w:pPr>
            <w:r>
              <w:rPr>
                <w:rFonts w:ascii="Cambria" w:hAnsi="Cambria"/>
                <w:color w:val="1C1C1C"/>
                <w:sz w:val="19"/>
              </w:rPr>
              <w:t xml:space="preserve">Mein Schulweg</w:t>
            </w:r>
          </w:p>
        </w:tc>
      </w:tr>
      <w:tr>
        <w:trPr>
          <w:cantSplit/>
        </w:trPr>
        <w:tc>
          <w:tcPr>
            <w:tcW w:w="1900" w:type="dxa"/>
            <w:shd w:val="clear" w:color="auto" w:fill="F1F4EC"/>
            <w:tcMar>
              <w:top w:w="60" w:type="dxa"/>
              <w:left w:w="90" w:type="dxa"/>
              <w:bottom w:w="60" w:type="dxa"/>
              <w:right w:w="90" w:type="dxa"/>
            </w:tcMar>
          </w:tcPr>
          <w:p>
            <w:pPr>
              <w:spacing w:after="0" w:line="264" w:lineRule="auto"/>
            </w:pPr>
            <w:r>
              <w:rPr>
                <w:rFonts w:ascii="Cambria" w:hAnsi="Cambria"/>
                <w:b/>
                <w:color w:val="1C1C1C"/>
                <w:sz w:val="19"/>
              </w:rPr>
              <w:t xml:space="preserve">2. Phänomen</w:t>
            </w:r>
          </w:p>
        </w:tc>
        <w:tc>
          <w:tcPr>
            <w:tcW w:w="7126"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Zwischen Schultor und Haltestelle liegt eine Rasenfläche, am Rand ein gepflasterter Weg. Auf dem Pflaster läuft man schneller, der Weg ist aber länger.</w:t>
            </w:r>
          </w:p>
        </w:tc>
      </w:tr>
      <w:tr>
        <w:trPr>
          <w:cantSplit/>
        </w:trPr>
        <w:tc>
          <w:tcPr>
            <w:tcW w:w="1900" w:type="dxa"/>
            <w:tcMar>
              <w:top w:w="60" w:type="dxa"/>
              <w:left w:w="90" w:type="dxa"/>
              <w:bottom w:w="60" w:type="dxa"/>
              <w:right w:w="90" w:type="dxa"/>
            </w:tcMar>
          </w:tcPr>
          <w:p>
            <w:pPr>
              <w:spacing w:after="0" w:line="264" w:lineRule="auto"/>
            </w:pPr>
            <w:r>
              <w:rPr>
                <w:rFonts w:ascii="Cambria" w:hAnsi="Cambria"/>
                <w:b/>
                <w:color w:val="1C1C1C"/>
                <w:sz w:val="19"/>
              </w:rPr>
              <w:t xml:space="preserve">3. Frage</w:t>
            </w:r>
          </w:p>
        </w:tc>
        <w:tc>
          <w:tcPr>
            <w:tcW w:w="7126" w:type="dxa"/>
            <w:tcMar>
              <w:top w:w="60" w:type="dxa"/>
              <w:left w:w="90" w:type="dxa"/>
              <w:bottom w:w="60" w:type="dxa"/>
              <w:right w:w="90" w:type="dxa"/>
            </w:tcMar>
          </w:tcPr>
          <w:p>
            <w:pPr>
              <w:spacing w:after="0" w:line="264" w:lineRule="auto"/>
            </w:pPr>
            <w:r>
              <w:rPr>
                <w:rFonts w:ascii="Cambria" w:hAnsi="Cambria"/>
                <w:color w:val="1C1C1C"/>
                <w:sz w:val="19"/>
              </w:rPr>
              <w:t xml:space="preserve">An welcher Stelle sollte ich vom Rasen auf den Weg wechseln, um die Haltestelle in der kürzesten Zeit zu erreichen?</w:t>
            </w:r>
          </w:p>
        </w:tc>
      </w:tr>
      <w:tr>
        <w:trPr>
          <w:cantSplit/>
        </w:trPr>
        <w:tc>
          <w:tcPr>
            <w:tcW w:w="1900" w:type="dxa"/>
            <w:shd w:val="clear" w:color="auto" w:fill="F1F4EC"/>
            <w:tcMar>
              <w:top w:w="60" w:type="dxa"/>
              <w:left w:w="90" w:type="dxa"/>
              <w:bottom w:w="60" w:type="dxa"/>
              <w:right w:w="90" w:type="dxa"/>
            </w:tcMar>
          </w:tcPr>
          <w:p>
            <w:pPr>
              <w:spacing w:after="0" w:line="264" w:lineRule="auto"/>
            </w:pPr>
            <w:r>
              <w:rPr>
                <w:rFonts w:ascii="Cambria" w:hAnsi="Cambria"/>
                <w:b/>
                <w:color w:val="1C1C1C"/>
                <w:sz w:val="19"/>
              </w:rPr>
              <w:t xml:space="preserve">4. Mathematik</w:t>
            </w:r>
          </w:p>
        </w:tc>
        <w:tc>
          <w:tcPr>
            <w:tcW w:w="7126" w:type="dxa"/>
            <w:shd w:val="clear" w:color="auto" w:fill="F1F4EC"/>
            <w:tcMar>
              <w:top w:w="60" w:type="dxa"/>
              <w:left w:w="90" w:type="dxa"/>
              <w:bottom w:w="60" w:type="dxa"/>
              <w:right w:w="90" w:type="dxa"/>
            </w:tcMar>
          </w:tcPr>
          <w:p>
            <w:pPr>
              <w:spacing w:after="40" w:line="264" w:lineRule="auto"/>
            </w:pPr>
            <w:r>
              <w:rPr>
                <w:rFonts w:ascii="Cambria" w:hAnsi="Cambria"/>
                <w:color w:val="1C1C1C"/>
                <w:sz w:val="19"/>
              </w:rPr>
              <w:t xml:space="preserve">Zeitfunktion aufstellen, Kettenregel (B 5.3), Optimierung mit notwendiger und hinreichender Bedingung (B 5.7, B 5.5), Trigonometrie am rechtwinkligen Dreieck (B 3.1), Mittelwert und Standardabweichung (B 4.1).</w:t>
            </w:r>
          </w:p>
          <w:p>
            <w:pPr>
              <w:spacing w:after="0" w:line="264" w:lineRule="auto"/>
            </w:pPr>
            <w:r>
              <w:rPr>
                <w:rFonts w:ascii="Cambria" w:hAnsi="Cambria"/>
                <w:color w:val="1C1C1C"/>
                <w:sz w:val="19"/>
              </w:rPr>
              <w:t xml:space="preserve">Daten: eigene Geschwindigkeitsmessung, fünf Läufe je Untergrund.</w:t>
            </w:r>
          </w:p>
        </w:tc>
      </w:tr>
    </w:tbl>
    <w:p>
      <w:pPr>
        <w:spacing w:after="120" w:line="288" w:lineRule="auto"/>
      </w:pPr>
    </w:p>
    <w:p>
      <w:r>
        <w:br w:type="page"/>
      </w:r>
    </w:p>
    <w:p>
      <w:pPr>
        <w:pStyle w:val="KPAbschnitt"/>
        <w:spacing w:line="288" w:lineRule="auto"/>
      </w:pPr>
      <w:r>
        <w:rPr>
          <w:rFonts w:ascii="Calibri" w:hAnsi="Calibri"/>
          <w:b/>
          <w:color w:val="8FB840"/>
          <w:sz w:val="24"/>
        </w:rPr>
        <w:t xml:space="preserve">So scheitert ein Trichter   </w:t>
      </w:r>
      <w:r>
        <w:rPr>
          <w:rFonts w:ascii="Calibri" w:hAnsi="Calibri"/>
          <w:b/>
          <w:color w:val="0F3D2A"/>
          <w:sz w:val="24"/>
        </w:rPr>
        <w:t xml:space="preserve">Beispiel 3</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1500"/>
        <w:gridCol w:w="3200"/>
        <w:gridCol w:w="4326"/>
      </w:tblGrid>
      <w:tr>
        <w:trPr>
          <w:tblHeader w:val="true"/>
          <w:cantSplit/>
        </w:trPr>
        <w:tc>
          <w:tcPr>
            <w:tcW w:w="15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Stufe</w:t>
            </w:r>
          </w:p>
        </w:tc>
        <w:tc>
          <w:tcPr>
            <w:tcW w:w="32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Eintragung</w:t>
            </w:r>
          </w:p>
        </w:tc>
        <w:tc>
          <w:tcPr>
            <w:tcW w:w="43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Was hier schiefgeht</w:t>
            </w:r>
          </w:p>
        </w:tc>
      </w:tr>
      <w:tr>
        <w:trPr>
          <w:cantSplit/>
        </w:trPr>
        <w:tc>
          <w:tcPr>
            <w:tcW w:w="1500" w:type="dxa"/>
            <w:tcMar>
              <w:top w:w="60" w:type="dxa"/>
              <w:left w:w="90" w:type="dxa"/>
              <w:bottom w:w="60" w:type="dxa"/>
              <w:right w:w="90" w:type="dxa"/>
            </w:tcMar>
          </w:tcPr>
          <w:p>
            <w:pPr>
              <w:spacing w:after="0" w:line="264" w:lineRule="auto"/>
            </w:pPr>
            <w:r>
              <w:rPr>
                <w:rFonts w:ascii="Cambria" w:hAnsi="Cambria"/>
                <w:b/>
                <w:color w:val="1C1C1C"/>
                <w:sz w:val="18"/>
              </w:rPr>
              <w:t xml:space="preserve">1. Interessenfeld</w:t>
            </w:r>
          </w:p>
        </w:tc>
        <w:tc>
          <w:tcPr>
            <w:tcW w:w="3200" w:type="dxa"/>
            <w:tcMar>
              <w:top w:w="60" w:type="dxa"/>
              <w:left w:w="90" w:type="dxa"/>
              <w:bottom w:w="60" w:type="dxa"/>
              <w:right w:w="90" w:type="dxa"/>
            </w:tcMar>
          </w:tcPr>
          <w:p>
            <w:pPr>
              <w:spacing w:after="0" w:line="264" w:lineRule="auto"/>
            </w:pPr>
            <w:r>
              <w:rPr>
                <w:rFonts w:ascii="Cambria" w:hAnsi="Cambria"/>
                <w:color w:val="1C1C1C"/>
                <w:sz w:val="18"/>
              </w:rPr>
              <w:t xml:space="preserve">Musik</w:t>
            </w:r>
          </w:p>
        </w:tc>
        <w:tc>
          <w:tcPr>
            <w:tcW w:w="4326" w:type="dxa"/>
            <w:tcMar>
              <w:top w:w="60" w:type="dxa"/>
              <w:left w:w="90" w:type="dxa"/>
              <w:bottom w:w="60" w:type="dxa"/>
              <w:right w:w="90" w:type="dxa"/>
            </w:tcMar>
          </w:tcPr>
          <w:p>
            <w:pPr>
              <w:spacing w:after="0" w:line="264" w:lineRule="auto"/>
            </w:pPr>
            <w:r>
              <w:rPr>
                <w:rFonts w:ascii="Cambria" w:hAnsi="Cambria"/>
                <w:color w:val="1C1C1C"/>
                <w:sz w:val="18"/>
              </w:rPr>
              <w:t xml:space="preserve">Nichts. Ein Impuls darf breit sein.</w:t>
            </w:r>
          </w:p>
        </w:tc>
      </w:tr>
      <w:tr>
        <w:trPr>
          <w:cantSplit/>
        </w:trPr>
        <w:tc>
          <w:tcPr>
            <w:tcW w:w="1500" w:type="dxa"/>
            <w:shd w:val="clear" w:color="auto" w:fill="F8E7E7"/>
            <w:tcMar>
              <w:top w:w="60" w:type="dxa"/>
              <w:left w:w="90" w:type="dxa"/>
              <w:bottom w:w="60" w:type="dxa"/>
              <w:right w:w="90" w:type="dxa"/>
            </w:tcMar>
          </w:tcPr>
          <w:p>
            <w:pPr>
              <w:spacing w:after="0" w:line="264" w:lineRule="auto"/>
            </w:pPr>
            <w:r>
              <w:rPr>
                <w:rFonts w:ascii="Cambria" w:hAnsi="Cambria"/>
                <w:b/>
                <w:color w:val="1C1C1C"/>
                <w:sz w:val="18"/>
              </w:rPr>
              <w:t xml:space="preserve">2. Phänomen</w:t>
            </w:r>
          </w:p>
        </w:tc>
        <w:tc>
          <w:tcPr>
            <w:tcW w:w="3200" w:type="dxa"/>
            <w:shd w:val="clear" w:color="auto" w:fill="F8E7E7"/>
            <w:tcMar>
              <w:top w:w="60" w:type="dxa"/>
              <w:left w:w="90" w:type="dxa"/>
              <w:bottom w:w="60" w:type="dxa"/>
              <w:right w:w="90" w:type="dxa"/>
            </w:tcMar>
          </w:tcPr>
          <w:p>
            <w:pPr>
              <w:spacing w:after="0" w:line="264" w:lineRule="auto"/>
            </w:pPr>
            <w:r>
              <w:rPr>
                <w:rFonts w:ascii="Cambria" w:hAnsi="Cambria"/>
                <w:color w:val="1C1C1C"/>
                <w:sz w:val="18"/>
              </w:rPr>
              <w:t xml:space="preserve">Musik hat viel mit Zahlen zu tun.</w:t>
            </w:r>
          </w:p>
        </w:tc>
        <w:tc>
          <w:tcPr>
            <w:tcW w:w="4326" w:type="dxa"/>
            <w:shd w:val="clear" w:color="auto" w:fill="F8E7E7"/>
            <w:tcMar>
              <w:top w:w="60" w:type="dxa"/>
              <w:left w:w="90" w:type="dxa"/>
              <w:bottom w:w="60" w:type="dxa"/>
              <w:right w:w="90" w:type="dxa"/>
            </w:tcMar>
          </w:tcPr>
          <w:p>
            <w:pPr>
              <w:spacing w:after="0" w:line="264" w:lineRule="auto"/>
            </w:pPr>
            <w:r>
              <w:rPr>
                <w:rFonts w:ascii="Cambria" w:hAnsi="Cambria"/>
                <w:color w:val="1C1C1C"/>
                <w:sz w:val="18"/>
              </w:rPr>
              <w:t xml:space="preserve">Hier passiert der Fehler. Das ist kein Phänomen, sondern eine Behauptung. Nichts daran verändert sich, ist ungleich verteilt oder lässt sich vergleichen.</w:t>
            </w:r>
          </w:p>
        </w:tc>
      </w:tr>
      <w:tr>
        <w:trPr>
          <w:cantSplit/>
        </w:trPr>
        <w:tc>
          <w:tcPr>
            <w:tcW w:w="1500" w:type="dxa"/>
            <w:tcMar>
              <w:top w:w="60" w:type="dxa"/>
              <w:left w:w="90" w:type="dxa"/>
              <w:bottom w:w="60" w:type="dxa"/>
              <w:right w:w="90" w:type="dxa"/>
            </w:tcMar>
          </w:tcPr>
          <w:p>
            <w:pPr>
              <w:spacing w:after="0" w:line="264" w:lineRule="auto"/>
            </w:pPr>
            <w:r>
              <w:rPr>
                <w:rFonts w:ascii="Cambria" w:hAnsi="Cambria"/>
                <w:b/>
                <w:color w:val="1C1C1C"/>
                <w:sz w:val="18"/>
              </w:rPr>
              <w:t xml:space="preserve">3. Frage</w:t>
            </w:r>
          </w:p>
        </w:tc>
        <w:tc>
          <w:tcPr>
            <w:tcW w:w="3200" w:type="dxa"/>
            <w:tcMar>
              <w:top w:w="60" w:type="dxa"/>
              <w:left w:w="90" w:type="dxa"/>
              <w:bottom w:w="60" w:type="dxa"/>
              <w:right w:w="90" w:type="dxa"/>
            </w:tcMar>
          </w:tcPr>
          <w:p>
            <w:pPr>
              <w:spacing w:after="0" w:line="264" w:lineRule="auto"/>
            </w:pPr>
            <w:r>
              <w:rPr>
                <w:rFonts w:ascii="Cambria" w:hAnsi="Cambria"/>
                <w:color w:val="1C1C1C"/>
                <w:sz w:val="18"/>
              </w:rPr>
              <w:t xml:space="preserve">Wie funktioniert die Fourier-Analyse?</w:t>
            </w:r>
          </w:p>
        </w:tc>
        <w:tc>
          <w:tcPr>
            <w:tcW w:w="4326" w:type="dxa"/>
            <w:tcMar>
              <w:top w:w="60" w:type="dxa"/>
              <w:left w:w="90" w:type="dxa"/>
              <w:bottom w:w="60" w:type="dxa"/>
              <w:right w:w="90" w:type="dxa"/>
            </w:tcMar>
          </w:tcPr>
          <w:p>
            <w:pPr>
              <w:spacing w:after="0" w:line="264" w:lineRule="auto"/>
            </w:pPr>
            <w:r>
              <w:rPr>
                <w:rFonts w:ascii="Cambria" w:hAnsi="Cambria"/>
                <w:color w:val="1C1C1C"/>
                <w:sz w:val="18"/>
              </w:rPr>
              <w:t xml:space="preserve">Eine Nachschlagefrage. Keine Rechnung beantwortet sie – man liest die Antwort.</w:t>
            </w:r>
          </w:p>
        </w:tc>
      </w:tr>
      <w:tr>
        <w:trPr>
          <w:cantSplit/>
        </w:trPr>
        <w:tc>
          <w:tcPr>
            <w:tcW w:w="1500" w:type="dxa"/>
            <w:shd w:val="clear" w:color="auto" w:fill="F8E7E7"/>
            <w:tcMar>
              <w:top w:w="60" w:type="dxa"/>
              <w:left w:w="90" w:type="dxa"/>
              <w:bottom w:w="60" w:type="dxa"/>
              <w:right w:w="90" w:type="dxa"/>
            </w:tcMar>
          </w:tcPr>
          <w:p>
            <w:pPr>
              <w:spacing w:after="0" w:line="264" w:lineRule="auto"/>
            </w:pPr>
            <w:r>
              <w:rPr>
                <w:rFonts w:ascii="Cambria" w:hAnsi="Cambria"/>
                <w:b/>
                <w:color w:val="1C1C1C"/>
                <w:sz w:val="18"/>
              </w:rPr>
              <w:t xml:space="preserve">4. Mathematik</w:t>
            </w:r>
          </w:p>
        </w:tc>
        <w:tc>
          <w:tcPr>
            <w:tcW w:w="3200" w:type="dxa"/>
            <w:shd w:val="clear" w:color="auto" w:fill="F8E7E7"/>
            <w:tcMar>
              <w:top w:w="60" w:type="dxa"/>
              <w:left w:w="90" w:type="dxa"/>
              <w:bottom w:w="60" w:type="dxa"/>
              <w:right w:w="90" w:type="dxa"/>
            </w:tcMar>
          </w:tcPr>
          <w:p>
            <w:pPr>
              <w:spacing w:after="0" w:line="264" w:lineRule="auto"/>
            </w:pPr>
            <w:r>
              <w:rPr>
                <w:rFonts w:ascii="Cambria" w:hAnsi="Cambria"/>
                <w:color w:val="1C1C1C"/>
                <w:sz w:val="18"/>
              </w:rPr>
              <w:t xml:space="preserve">Fourier-Reihen</w:t>
            </w:r>
          </w:p>
        </w:tc>
        <w:tc>
          <w:tcPr>
            <w:tcW w:w="4326" w:type="dxa"/>
            <w:shd w:val="clear" w:color="auto" w:fill="F8E7E7"/>
            <w:tcMar>
              <w:top w:w="60" w:type="dxa"/>
              <w:left w:w="90" w:type="dxa"/>
              <w:bottom w:w="60" w:type="dxa"/>
              <w:right w:w="90" w:type="dxa"/>
            </w:tcMar>
          </w:tcPr>
          <w:p>
            <w:pPr>
              <w:spacing w:after="0" w:line="264" w:lineRule="auto"/>
            </w:pPr>
            <w:r>
              <w:rPr>
                <w:rFonts w:ascii="Cambria" w:hAnsi="Cambria"/>
                <w:color w:val="1C1C1C"/>
                <w:sz w:val="18"/>
              </w:rPr>
              <w:t xml:space="preserve">Weit außerhalb des Lehrplans, und niemand am Tisch kann sagen, welche Rechnung hier eigentlich gemacht würde.</w:t>
            </w:r>
          </w:p>
        </w:tc>
      </w:tr>
    </w:tbl>
    <w:p>
      <w:pPr>
        <w:spacing w:after="120" w:line="288" w:lineRule="auto"/>
      </w:pP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1F4EC"/>
            <w:tcBorders>
              <w:left w:val="single" w:sz="26" w:space="0" w:color="8FB840"/>
            </w:tcBorders>
            <w:tcMar>
              <w:top w:w="150" w:type="dxa"/>
              <w:left w:w="220" w:type="dxa"/>
              <w:bottom w:w="150" w:type="dxa"/>
              <w:right w:w="200" w:type="dxa"/>
            </w:tcMar>
          </w:tcPr>
          <w:p>
            <w:pPr>
              <w:spacing w:after="80" w:line="288" w:lineRule="auto"/>
            </w:pPr>
            <w:r>
              <w:rPr>
                <w:rFonts w:ascii="Calibri" w:hAnsi="Calibri"/>
                <w:b/>
                <w:color w:val="0F3D2A"/>
                <w:sz w:val="22"/>
              </w:rPr>
              <w:t xml:space="preserve">So wird derselbe Trichter gerettet</w:t>
            </w:r>
          </w:p>
          <w:p>
            <w:pPr>
              <w:spacing w:after="60" w:line="288" w:lineRule="auto"/>
            </w:pPr>
            <w:r>
              <w:rPr>
                <w:rFonts w:ascii="Cambria" w:hAnsi="Cambria"/>
                <w:color w:val="1C1C1C"/>
                <w:sz w:val="20"/>
              </w:rPr>
              <w:t xml:space="preserve">Stufe 2 konkret machen: „Dasselbe Stück klingt auf dem Klavier und auf der Geige unterschiedlich gestimmt – bei manchen Akkorden hört man es deutlich.“</w:t>
            </w:r>
          </w:p>
          <w:p>
            <w:pPr>
              <w:spacing w:after="60" w:line="288" w:lineRule="auto"/>
            </w:pPr>
            <w:r>
              <w:rPr>
                <w:rFonts w:ascii="Cambria" w:hAnsi="Cambria"/>
                <w:color w:val="1C1C1C"/>
                <w:sz w:val="20"/>
              </w:rPr>
              <w:t xml:space="preserve">Stufe 3 folgt dann von selbst: „Wie groß ist die Abweichung zwischen der reinen und der gleichstufigen Stimmung bei einem Dur-Dreiklang, in Cent gemessen?“</w:t>
            </w:r>
          </w:p>
          <w:p>
            <w:pPr>
              <w:spacing w:after="60" w:line="288" w:lineRule="auto"/>
            </w:pPr>
            <w:r>
              <w:rPr>
                <w:rFonts w:ascii="Cambria" w:hAnsi="Cambria"/>
                <w:color w:val="1C1C1C"/>
                <w:sz w:val="20"/>
              </w:rPr>
              <w:t xml:space="preserve">Stufe 4 liegt plötzlich im Lehrplan: Potenzen und Logarithmen (B 2.7, B 2.8), Verhältnisse und relative Abweichung.</w:t>
            </w:r>
          </w:p>
          <w:p>
            <w:pPr>
              <w:spacing w:after="60" w:line="288" w:lineRule="auto"/>
            </w:pPr>
            <w:r>
              <w:rPr>
                <w:rFonts w:ascii="Cambria" w:hAnsi="Cambria"/>
                <w:color w:val="1C1C1C"/>
                <w:sz w:val="20"/>
              </w:rPr>
              <w:t xml:space="preserve">Merksatz für die Beratung in Doppelstunde 4: Wer auf Stufe 3 hängt, hat fast immer ein Problem auf Stufe 2. Nicht an der Frage feilen – zurück zum Phänomen.</w:t>
            </w:r>
          </w:p>
        </w:tc>
      </w:tr>
    </w:tbl>
    <w:p>
      <w:pPr>
        <w:spacing w:after="120" w:line="288" w:lineRule="auto"/>
      </w:pPr>
    </w:p>
    <w:p>
      <w:r>
        <w:br w:type="page"/>
      </w:r>
    </w:p>
    <w:p>
      <w:pPr>
        <w:pStyle w:val="KPKapitel"/>
        <w:spacing w:line="288" w:lineRule="auto"/>
      </w:pPr>
      <w:r>
        <w:rPr>
          <w:rFonts w:ascii="Calibri" w:hAnsi="Calibri"/>
          <w:b/>
          <w:color w:val="0F3D2A"/>
          <w:sz w:val="32"/>
        </w:rPr>
        <w:t xml:space="preserve">Zu M 5: Finde den Fehler</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500"/>
        <w:gridCol w:w="1000"/>
        <w:gridCol w:w="3600"/>
        <w:gridCol w:w="3926"/>
      </w:tblGrid>
      <w:tr>
        <w:trPr>
          <w:tblHeader w:val="true"/>
          <w:cantSplit/>
        </w:trPr>
        <w:tc>
          <w:tcPr>
            <w:tcW w:w="5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Nr.</w:t>
            </w:r>
          </w:p>
        </w:tc>
        <w:tc>
          <w:tcPr>
            <w:tcW w:w="10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Kriterium</w:t>
            </w:r>
          </w:p>
        </w:tc>
        <w:tc>
          <w:tcPr>
            <w:tcW w:w="36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Was verletzt ist</w:t>
            </w:r>
          </w:p>
        </w:tc>
        <w:tc>
          <w:tcPr>
            <w:tcW w:w="39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So wäre es richtig</w:t>
            </w:r>
          </w:p>
        </w:tc>
      </w:tr>
      <w:tr>
        <w:trPr>
          <w:cantSplit/>
        </w:trPr>
        <w:tc>
          <w:tcPr>
            <w:tcW w:w="500" w:type="dxa"/>
            <w:tcMar>
              <w:top w:w="60" w:type="dxa"/>
              <w:left w:w="90" w:type="dxa"/>
              <w:bottom w:w="60" w:type="dxa"/>
              <w:right w:w="90" w:type="dxa"/>
            </w:tcMar>
          </w:tcPr>
          <w:p>
            <w:pPr>
              <w:spacing w:after="0" w:line="264" w:lineRule="auto"/>
            </w:pPr>
            <w:r>
              <w:rPr>
                <w:rFonts w:ascii="Cambria" w:hAnsi="Cambria"/>
                <w:b/>
                <w:color w:val="1C1C1C"/>
                <w:sz w:val="18"/>
              </w:rPr>
              <w:t xml:space="preserve">1</w:t>
            </w:r>
          </w:p>
        </w:tc>
        <w:tc>
          <w:tcPr>
            <w:tcW w:w="1000" w:type="dxa"/>
            <w:tcMar>
              <w:top w:w="60" w:type="dxa"/>
              <w:left w:w="90" w:type="dxa"/>
              <w:bottom w:w="60" w:type="dxa"/>
              <w:right w:w="90" w:type="dxa"/>
            </w:tcMar>
          </w:tcPr>
          <w:p>
            <w:pPr>
              <w:spacing w:after="0" w:line="264" w:lineRule="auto"/>
            </w:pPr>
            <w:r>
              <w:rPr>
                <w:rFonts w:ascii="Cambria" w:hAnsi="Cambria"/>
                <w:color w:val="1C1C1C"/>
                <w:sz w:val="18"/>
              </w:rPr>
              <w:t xml:space="preserve">B</w:t>
            </w:r>
          </w:p>
        </w:tc>
        <w:tc>
          <w:tcPr>
            <w:tcW w:w="3600" w:type="dxa"/>
            <w:tcMar>
              <w:top w:w="60" w:type="dxa"/>
              <w:left w:w="90" w:type="dxa"/>
              <w:bottom w:w="60" w:type="dxa"/>
              <w:right w:w="90" w:type="dxa"/>
            </w:tcMar>
          </w:tcPr>
          <w:p>
            <w:pPr>
              <w:spacing w:after="0" w:line="264" w:lineRule="auto"/>
            </w:pPr>
            <w:r>
              <w:rPr>
                <w:rFonts w:ascii="Cambria" w:hAnsi="Cambria"/>
                <w:color w:val="1C1C1C"/>
                <w:sz w:val="18"/>
              </w:rPr>
              <w:t xml:space="preserve">Computerschreibweise („x^2“) und keine Rechenschritte. Das Handbuch nennt den durchgehenden Gebrauch von Computerschreibweise als Beispiel für Ebene 1.</w:t>
            </w:r>
          </w:p>
        </w:tc>
        <w:tc>
          <w:tcPr>
            <w:tcW w:w="3926" w:type="dxa"/>
            <w:tcMar>
              <w:top w:w="60" w:type="dxa"/>
              <w:left w:w="90" w:type="dxa"/>
              <w:bottom w:w="60" w:type="dxa"/>
              <w:right w:w="90" w:type="dxa"/>
            </w:tcMar>
          </w:tcPr>
          <w:p>
            <w:pPr>
              <w:spacing w:after="0" w:line="264" w:lineRule="auto"/>
            </w:pPr>
            <w:r>
              <w:rPr>
                <w:rFonts w:ascii="Cambria" w:hAnsi="Cambria"/>
                <w:color w:val="1C1C1C"/>
                <w:sz w:val="18"/>
              </w:rPr>
              <w:t xml:space="preserve">„Wegen x² + 3x − 4 = (x + 4)(x − 1) hat die Gleichung die Lösungen x = −4 und x = 1.“</w:t>
            </w:r>
          </w:p>
        </w:tc>
      </w:tr>
      <w:tr>
        <w:trPr>
          <w:cantSplit/>
        </w:trPr>
        <w:tc>
          <w:tcPr>
            <w:tcW w:w="500" w:type="dxa"/>
            <w:shd w:val="clear" w:color="auto" w:fill="F1F4EC"/>
            <w:tcMar>
              <w:top w:w="60" w:type="dxa"/>
              <w:left w:w="90" w:type="dxa"/>
              <w:bottom w:w="60" w:type="dxa"/>
              <w:right w:w="90" w:type="dxa"/>
            </w:tcMar>
          </w:tcPr>
          <w:p>
            <w:pPr>
              <w:spacing w:after="0" w:line="264" w:lineRule="auto"/>
            </w:pPr>
            <w:r>
              <w:rPr>
                <w:rFonts w:ascii="Cambria" w:hAnsi="Cambria"/>
                <w:b/>
                <w:color w:val="1C1C1C"/>
                <w:sz w:val="18"/>
              </w:rPr>
              <w:t xml:space="preserve">2</w:t>
            </w:r>
          </w:p>
        </w:tc>
        <w:tc>
          <w:tcPr>
            <w:tcW w:w="10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B</w:t>
            </w:r>
          </w:p>
        </w:tc>
        <w:tc>
          <w:tcPr>
            <w:tcW w:w="36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Unbeschriftete Abbildung – im Handbuch ausdrücklich als Beispiel für Ebene 1 genannt.</w:t>
            </w:r>
          </w:p>
        </w:tc>
        <w:tc>
          <w:tcPr>
            <w:tcW w:w="39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Beide Achsen mit Größe und Einheit, Legende, Unterschrift mit Nummer und Aussage: „Abbildung 3: …“.</w:t>
            </w:r>
          </w:p>
        </w:tc>
      </w:tr>
      <w:tr>
        <w:trPr>
          <w:cantSplit/>
        </w:trPr>
        <w:tc>
          <w:tcPr>
            <w:tcW w:w="500" w:type="dxa"/>
            <w:tcMar>
              <w:top w:w="60" w:type="dxa"/>
              <w:left w:w="90" w:type="dxa"/>
              <w:bottom w:w="60" w:type="dxa"/>
              <w:right w:w="90" w:type="dxa"/>
            </w:tcMar>
          </w:tcPr>
          <w:p>
            <w:pPr>
              <w:spacing w:after="0" w:line="264" w:lineRule="auto"/>
            </w:pPr>
            <w:r>
              <w:rPr>
                <w:rFonts w:ascii="Cambria" w:hAnsi="Cambria"/>
                <w:b/>
                <w:color w:val="1C1C1C"/>
                <w:sz w:val="18"/>
              </w:rPr>
              <w:t xml:space="preserve">3</w:t>
            </w:r>
          </w:p>
        </w:tc>
        <w:tc>
          <w:tcPr>
            <w:tcW w:w="1000" w:type="dxa"/>
            <w:tcMar>
              <w:top w:w="60" w:type="dxa"/>
              <w:left w:w="90" w:type="dxa"/>
              <w:bottom w:w="60" w:type="dxa"/>
              <w:right w:w="90" w:type="dxa"/>
            </w:tcMar>
          </w:tcPr>
          <w:p>
            <w:pPr>
              <w:spacing w:after="0" w:line="264" w:lineRule="auto"/>
            </w:pPr>
            <w:r>
              <w:rPr>
                <w:rFonts w:ascii="Cambria" w:hAnsi="Cambria"/>
                <w:color w:val="1C1C1C"/>
                <w:sz w:val="18"/>
              </w:rPr>
              <w:t xml:space="preserve">B</w:t>
            </w:r>
          </w:p>
        </w:tc>
        <w:tc>
          <w:tcPr>
            <w:tcW w:w="3600" w:type="dxa"/>
            <w:tcMar>
              <w:top w:w="60" w:type="dxa"/>
              <w:left w:w="90" w:type="dxa"/>
              <w:bottom w:w="60" w:type="dxa"/>
              <w:right w:w="90" w:type="dxa"/>
            </w:tcMar>
          </w:tcPr>
          <w:p>
            <w:pPr>
              <w:spacing w:after="0" w:line="264" w:lineRule="auto"/>
            </w:pPr>
            <w:r>
              <w:rPr>
                <w:rFonts w:ascii="Cambria" w:hAnsi="Cambria"/>
                <w:color w:val="1C1C1C"/>
                <w:sz w:val="18"/>
              </w:rPr>
              <w:t xml:space="preserve">Variablen nicht definiert. Der Deskriptor verlangt die Definition von Schlüsselbegriffen und Variablen, wo erforderlich.</w:t>
            </w:r>
          </w:p>
        </w:tc>
        <w:tc>
          <w:tcPr>
            <w:tcW w:w="3926" w:type="dxa"/>
            <w:tcMar>
              <w:top w:w="60" w:type="dxa"/>
              <w:left w:w="90" w:type="dxa"/>
              <w:bottom w:w="60" w:type="dxa"/>
              <w:right w:w="90" w:type="dxa"/>
            </w:tcMar>
          </w:tcPr>
          <w:p>
            <w:pPr>
              <w:spacing w:after="0" w:line="264" w:lineRule="auto"/>
            </w:pPr>
            <w:r>
              <w:rPr>
                <w:rFonts w:ascii="Cambria" w:hAnsi="Cambria"/>
                <w:color w:val="1C1C1C"/>
                <w:sz w:val="18"/>
              </w:rPr>
              <w:t xml:space="preserve">„Dabei bezeichnet a … in … und b … in …“ – vor der ersten Verwendung.</w:t>
            </w:r>
          </w:p>
        </w:tc>
      </w:tr>
      <w:tr>
        <w:trPr>
          <w:cantSplit/>
        </w:trPr>
        <w:tc>
          <w:tcPr>
            <w:tcW w:w="500" w:type="dxa"/>
            <w:shd w:val="clear" w:color="auto" w:fill="F1F4EC"/>
            <w:tcMar>
              <w:top w:w="60" w:type="dxa"/>
              <w:left w:w="90" w:type="dxa"/>
              <w:bottom w:w="60" w:type="dxa"/>
              <w:right w:w="90" w:type="dxa"/>
            </w:tcMar>
          </w:tcPr>
          <w:p>
            <w:pPr>
              <w:spacing w:after="0" w:line="264" w:lineRule="auto"/>
            </w:pPr>
            <w:r>
              <w:rPr>
                <w:rFonts w:ascii="Cambria" w:hAnsi="Cambria"/>
                <w:b/>
                <w:color w:val="1C1C1C"/>
                <w:sz w:val="18"/>
              </w:rPr>
              <w:t xml:space="preserve">4</w:t>
            </w:r>
          </w:p>
        </w:tc>
        <w:tc>
          <w:tcPr>
            <w:tcW w:w="10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A</w:t>
            </w:r>
          </w:p>
        </w:tc>
        <w:tc>
          <w:tcPr>
            <w:tcW w:w="36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Relevante Grafiken gehören an die passende Stelle im Text. Der Anhang ist für große Datenmengen und Zusatzmaterial.</w:t>
            </w:r>
          </w:p>
        </w:tc>
        <w:tc>
          <w:tcPr>
            <w:tcW w:w="39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Das Diagramm in den Text, dorthin, wo die Regression besprochen wird.</w:t>
            </w:r>
          </w:p>
        </w:tc>
      </w:tr>
      <w:tr>
        <w:trPr>
          <w:cantSplit/>
        </w:trPr>
        <w:tc>
          <w:tcPr>
            <w:tcW w:w="500" w:type="dxa"/>
            <w:tcMar>
              <w:top w:w="60" w:type="dxa"/>
              <w:left w:w="90" w:type="dxa"/>
              <w:bottom w:w="60" w:type="dxa"/>
              <w:right w:w="90" w:type="dxa"/>
            </w:tcMar>
          </w:tcPr>
          <w:p>
            <w:pPr>
              <w:spacing w:after="0" w:line="264" w:lineRule="auto"/>
            </w:pPr>
            <w:r>
              <w:rPr>
                <w:rFonts w:ascii="Cambria" w:hAnsi="Cambria"/>
                <w:b/>
                <w:color w:val="1C1C1C"/>
                <w:sz w:val="18"/>
              </w:rPr>
              <w:t xml:space="preserve">5</w:t>
            </w:r>
          </w:p>
        </w:tc>
        <w:tc>
          <w:tcPr>
            <w:tcW w:w="1000" w:type="dxa"/>
            <w:tcMar>
              <w:top w:w="60" w:type="dxa"/>
              <w:left w:w="90" w:type="dxa"/>
              <w:bottom w:w="60" w:type="dxa"/>
              <w:right w:w="90" w:type="dxa"/>
            </w:tcMar>
          </w:tcPr>
          <w:p>
            <w:pPr>
              <w:spacing w:after="0" w:line="264" w:lineRule="auto"/>
            </w:pPr>
            <w:r>
              <w:rPr>
                <w:rFonts w:ascii="Cambria" w:hAnsi="Cambria"/>
                <w:color w:val="1C1C1C"/>
                <w:sz w:val="18"/>
              </w:rPr>
              <w:t xml:space="preserve">A</w:t>
            </w:r>
          </w:p>
        </w:tc>
        <w:tc>
          <w:tcPr>
            <w:tcW w:w="3600" w:type="dxa"/>
            <w:tcMar>
              <w:top w:w="60" w:type="dxa"/>
              <w:left w:w="90" w:type="dxa"/>
              <w:bottom w:w="60" w:type="dxa"/>
              <w:right w:w="90" w:type="dxa"/>
            </w:tcMar>
          </w:tcPr>
          <w:p>
            <w:pPr>
              <w:spacing w:after="0" w:line="264" w:lineRule="auto"/>
            </w:pPr>
            <w:r>
              <w:rPr>
                <w:rFonts w:ascii="Cambria" w:hAnsi="Cambria"/>
                <w:color w:val="1C1C1C"/>
                <w:sz w:val="18"/>
              </w:rPr>
              <w:t xml:space="preserve">Nicht prägnant: unnötig repetitive Berechnungen.</w:t>
            </w:r>
          </w:p>
        </w:tc>
        <w:tc>
          <w:tcPr>
            <w:tcW w:w="3926" w:type="dxa"/>
            <w:tcMar>
              <w:top w:w="60" w:type="dxa"/>
              <w:left w:w="90" w:type="dxa"/>
              <w:bottom w:w="60" w:type="dxa"/>
              <w:right w:w="90" w:type="dxa"/>
            </w:tcMar>
          </w:tcPr>
          <w:p>
            <w:pPr>
              <w:spacing w:after="0" w:line="264" w:lineRule="auto"/>
            </w:pPr>
            <w:r>
              <w:rPr>
                <w:rFonts w:ascii="Cambria" w:hAnsi="Cambria"/>
                <w:color w:val="1C1C1C"/>
                <w:sz w:val="18"/>
              </w:rPr>
              <w:t xml:space="preserve">Eine Rechnung vollständig, die übrigen als Tabelle, danach die Verallgemeinerung.</w:t>
            </w:r>
          </w:p>
        </w:tc>
      </w:tr>
      <w:tr>
        <w:trPr>
          <w:cantSplit/>
        </w:trPr>
        <w:tc>
          <w:tcPr>
            <w:tcW w:w="500" w:type="dxa"/>
            <w:shd w:val="clear" w:color="auto" w:fill="F1F4EC"/>
            <w:tcMar>
              <w:top w:w="60" w:type="dxa"/>
              <w:left w:w="90" w:type="dxa"/>
              <w:bottom w:w="60" w:type="dxa"/>
              <w:right w:w="90" w:type="dxa"/>
            </w:tcMar>
          </w:tcPr>
          <w:p>
            <w:pPr>
              <w:spacing w:after="0" w:line="264" w:lineRule="auto"/>
            </w:pPr>
            <w:r>
              <w:rPr>
                <w:rFonts w:ascii="Cambria" w:hAnsi="Cambria"/>
                <w:b/>
                <w:color w:val="1C1C1C"/>
                <w:sz w:val="18"/>
              </w:rPr>
              <w:t xml:space="preserve">6</w:t>
            </w:r>
          </w:p>
        </w:tc>
        <w:tc>
          <w:tcPr>
            <w:tcW w:w="10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A</w:t>
            </w:r>
          </w:p>
        </w:tc>
        <w:tc>
          <w:tcPr>
            <w:tcW w:w="36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Nicht stimmig: Der Schluss führt etwas ein, das im Hauptteil nicht vorkommt.</w:t>
            </w:r>
          </w:p>
        </w:tc>
        <w:tc>
          <w:tcPr>
            <w:tcW w:w="39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Entweder das zweite Modell im Hauptteil entwickeln – oder den Satz streichen.</w:t>
            </w:r>
          </w:p>
        </w:tc>
      </w:tr>
      <w:tr>
        <w:trPr>
          <w:cantSplit/>
        </w:trPr>
        <w:tc>
          <w:tcPr>
            <w:tcW w:w="500" w:type="dxa"/>
            <w:tcMar>
              <w:top w:w="60" w:type="dxa"/>
              <w:left w:w="90" w:type="dxa"/>
              <w:bottom w:w="60" w:type="dxa"/>
              <w:right w:w="90" w:type="dxa"/>
            </w:tcMar>
          </w:tcPr>
          <w:p>
            <w:pPr>
              <w:spacing w:after="0" w:line="264" w:lineRule="auto"/>
            </w:pPr>
            <w:r>
              <w:rPr>
                <w:rFonts w:ascii="Cambria" w:hAnsi="Cambria"/>
                <w:b/>
                <w:color w:val="1C1C1C"/>
                <w:sz w:val="18"/>
              </w:rPr>
              <w:t xml:space="preserve">7</w:t>
            </w:r>
          </w:p>
        </w:tc>
        <w:tc>
          <w:tcPr>
            <w:tcW w:w="1000" w:type="dxa"/>
            <w:tcMar>
              <w:top w:w="60" w:type="dxa"/>
              <w:left w:w="90" w:type="dxa"/>
              <w:bottom w:w="60" w:type="dxa"/>
              <w:right w:w="90" w:type="dxa"/>
            </w:tcMar>
          </w:tcPr>
          <w:p>
            <w:pPr>
              <w:spacing w:after="0" w:line="264" w:lineRule="auto"/>
            </w:pPr>
            <w:r>
              <w:rPr>
                <w:rFonts w:ascii="Cambria" w:hAnsi="Cambria"/>
                <w:color w:val="1C1C1C"/>
                <w:sz w:val="18"/>
              </w:rPr>
              <w:t xml:space="preserve">B</w:t>
            </w:r>
          </w:p>
        </w:tc>
        <w:tc>
          <w:tcPr>
            <w:tcW w:w="3600" w:type="dxa"/>
            <w:tcMar>
              <w:top w:w="60" w:type="dxa"/>
              <w:left w:w="90" w:type="dxa"/>
              <w:bottom w:w="60" w:type="dxa"/>
              <w:right w:w="90" w:type="dxa"/>
            </w:tcMar>
          </w:tcPr>
          <w:p>
            <w:pPr>
              <w:spacing w:after="0" w:line="264" w:lineRule="auto"/>
            </w:pPr>
            <w:r>
              <w:rPr>
                <w:rFonts w:ascii="Cambria" w:hAnsi="Cambria"/>
                <w:color w:val="1C1C1C"/>
                <w:sz w:val="18"/>
              </w:rPr>
              <w:t xml:space="preserve">Unangemessene Genauigkeit. Acht Messwerte tragen keine sieben Nachkommastellen.</w:t>
            </w:r>
          </w:p>
        </w:tc>
        <w:tc>
          <w:tcPr>
            <w:tcW w:w="3926" w:type="dxa"/>
            <w:tcMar>
              <w:top w:w="60" w:type="dxa"/>
              <w:left w:w="90" w:type="dxa"/>
              <w:bottom w:w="60" w:type="dxa"/>
              <w:right w:w="90" w:type="dxa"/>
            </w:tcMar>
          </w:tcPr>
          <w:p>
            <w:pPr>
              <w:spacing w:after="0" w:line="264" w:lineRule="auto"/>
            </w:pPr>
            <w:r>
              <w:rPr>
                <w:rFonts w:ascii="Cambria" w:hAnsi="Cambria"/>
                <w:color w:val="1C1C1C"/>
                <w:sz w:val="18"/>
              </w:rPr>
              <w:t xml:space="preserve">„Die Standardabweichung beträgt 4,4 cm; ich runde auf zwei signifikante Stellen, weil das Maßband auf 0,1 cm genau ist.“</w:t>
            </w:r>
          </w:p>
        </w:tc>
      </w:tr>
      <w:tr>
        <w:trPr>
          <w:cantSplit/>
        </w:trPr>
        <w:tc>
          <w:tcPr>
            <w:tcW w:w="500" w:type="dxa"/>
            <w:shd w:val="clear" w:color="auto" w:fill="F1F4EC"/>
            <w:tcMar>
              <w:top w:w="60" w:type="dxa"/>
              <w:left w:w="90" w:type="dxa"/>
              <w:bottom w:w="60" w:type="dxa"/>
              <w:right w:w="90" w:type="dxa"/>
            </w:tcMar>
          </w:tcPr>
          <w:p>
            <w:pPr>
              <w:spacing w:after="0" w:line="264" w:lineRule="auto"/>
            </w:pPr>
            <w:r>
              <w:rPr>
                <w:rFonts w:ascii="Cambria" w:hAnsi="Cambria"/>
                <w:b/>
                <w:color w:val="1C1C1C"/>
                <w:sz w:val="18"/>
              </w:rPr>
              <w:t xml:space="preserve">8</w:t>
            </w:r>
          </w:p>
        </w:tc>
        <w:tc>
          <w:tcPr>
            <w:tcW w:w="10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A</w:t>
            </w:r>
          </w:p>
        </w:tc>
        <w:tc>
          <w:tcPr>
            <w:tcW w:w="36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Keine Einführung, kein genanntes Ziel. Trifft „gut gegliedert“ und „stimmig“ zugleich.</w:t>
            </w:r>
          </w:p>
        </w:tc>
        <w:tc>
          <w:tcPr>
            <w:tcW w:w="39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Eine Einleitung, die die Frage stellt und sagt, wie die Arbeit vorgeht.</w:t>
            </w:r>
          </w:p>
        </w:tc>
      </w:tr>
    </w:tbl>
    <w:p>
      <w:pPr>
        <w:spacing w:after="120" w:line="288" w:lineRule="auto"/>
      </w:pPr>
    </w:p>
    <w:p>
      <w:r>
        <w:br w:type="page"/>
      </w:r>
    </w:p>
    <w:p>
      <w:pPr>
        <w:pStyle w:val="KPKapitel"/>
        <w:spacing w:line="288" w:lineRule="auto"/>
      </w:pPr>
      <w:r>
        <w:rPr>
          <w:rFonts w:ascii="Calibri" w:hAnsi="Calibri"/>
          <w:b/>
          <w:color w:val="0F3D2A"/>
          <w:sz w:val="32"/>
        </w:rPr>
        <w:t xml:space="preserve">Zu M 7: Kartenlegen</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1200"/>
        <w:gridCol w:w="3913"/>
        <w:gridCol w:w="3913"/>
      </w:tblGrid>
      <w:tr>
        <w:trPr>
          <w:tblHeader w:val="true"/>
          <w:cantSplit/>
        </w:trPr>
        <w:tc>
          <w:tcPr>
            <w:tcW w:w="1200" w:type="dxa"/>
            <w:shd w:val="clear" w:color="auto" w:fill="0F3D2A"/>
            <w:tcMar>
              <w:top w:w="60" w:type="dxa"/>
              <w:left w:w="90" w:type="dxa"/>
              <w:bottom w:w="60" w:type="dxa"/>
              <w:right w:w="90" w:type="dxa"/>
            </w:tcMar>
          </w:tcPr>
          <w:p>
            <w:pPr>
              <w:spacing w:after="0" w:line="252" w:lineRule="auto"/>
            </w:pPr>
          </w:p>
        </w:tc>
        <w:tc>
          <w:tcPr>
            <w:tcW w:w="3913"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C – Persönlicher Einsatz</w:t>
            </w:r>
          </w:p>
        </w:tc>
        <w:tc>
          <w:tcPr>
            <w:tcW w:w="3913"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D – Reflexion</w:t>
            </w:r>
          </w:p>
        </w:tc>
      </w:tr>
      <w:tr>
        <w:trPr>
          <w:cantSplit/>
        </w:trPr>
        <w:tc>
          <w:tcPr>
            <w:tcW w:w="1200" w:type="dxa"/>
            <w:tcMar>
              <w:top w:w="60" w:type="dxa"/>
              <w:left w:w="90" w:type="dxa"/>
              <w:bottom w:w="60" w:type="dxa"/>
              <w:right w:w="90" w:type="dxa"/>
            </w:tcMar>
          </w:tcPr>
          <w:p>
            <w:pPr>
              <w:spacing w:after="0" w:line="264" w:lineRule="auto"/>
            </w:pPr>
            <w:r>
              <w:rPr>
                <w:rFonts w:ascii="Cambria" w:hAnsi="Cambria"/>
                <w:b/>
                <w:color w:val="1C1C1C"/>
                <w:sz w:val="18"/>
              </w:rPr>
              <w:t xml:space="preserve">Ebene 3</w:t>
            </w:r>
          </w:p>
        </w:tc>
        <w:tc>
          <w:tcPr>
            <w:tcW w:w="3913" w:type="dxa"/>
            <w:tcMar>
              <w:top w:w="60" w:type="dxa"/>
              <w:left w:w="90" w:type="dxa"/>
              <w:bottom w:w="60" w:type="dxa"/>
              <w:right w:w="90" w:type="dxa"/>
            </w:tcMar>
          </w:tcPr>
          <w:p>
            <w:pPr>
              <w:spacing w:after="40" w:line="264" w:lineRule="auto"/>
            </w:pPr>
            <w:r>
              <w:rPr>
                <w:rFonts w:ascii="Cambria" w:hAnsi="Cambria"/>
                <w:color w:val="1C1C1C"/>
                <w:sz w:val="18"/>
              </w:rPr>
              <w:t xml:space="preserve">g)  eigene Darstellung entwickelt, weil die naheliegende nichts zeigte</w:t>
            </w:r>
          </w:p>
          <w:p>
            <w:pPr>
              <w:spacing w:after="0" w:line="264" w:lineRule="auto"/>
            </w:pPr>
            <w:r>
              <w:rPr>
                <w:rFonts w:ascii="Cambria" w:hAnsi="Cambria"/>
                <w:color w:val="1C1C1C"/>
                <w:sz w:val="18"/>
              </w:rPr>
              <w:t xml:space="preserve">i)  Vorhersage vorher aufgestellt und dann geprüft</w:t>
            </w:r>
          </w:p>
        </w:tc>
        <w:tc>
          <w:tcPr>
            <w:tcW w:w="3913" w:type="dxa"/>
            <w:tcMar>
              <w:top w:w="60" w:type="dxa"/>
              <w:left w:w="90" w:type="dxa"/>
              <w:bottom w:w="60" w:type="dxa"/>
              <w:right w:w="90" w:type="dxa"/>
            </w:tcMar>
          </w:tcPr>
          <w:p>
            <w:pPr>
              <w:spacing w:after="40" w:line="264" w:lineRule="auto"/>
            </w:pPr>
            <w:r>
              <w:rPr>
                <w:rFonts w:ascii="Cambria" w:hAnsi="Cambria"/>
                <w:color w:val="1C1C1C"/>
                <w:sz w:val="18"/>
              </w:rPr>
              <w:t xml:space="preserve">j)  einseitige Abweichung als Hinweis auf eine falsche Annahme, mit Reichweite für die eigene Frage</w:t>
            </w:r>
          </w:p>
          <w:p>
            <w:pPr>
              <w:spacing w:after="0" w:line="264" w:lineRule="auto"/>
            </w:pPr>
            <w:r>
              <w:rPr>
                <w:rFonts w:ascii="Cambria" w:hAnsi="Cambria"/>
                <w:color w:val="1C1C1C"/>
                <w:sz w:val="18"/>
              </w:rPr>
              <w:t xml:space="preserve">l)  Rückblick auf die wichtigste Entscheidung, mit Folge für das weitere Vorgehen</w:t>
            </w:r>
          </w:p>
        </w:tc>
      </w:tr>
      <w:tr>
        <w:trPr>
          <w:cantSplit/>
        </w:trPr>
        <w:tc>
          <w:tcPr>
            <w:tcW w:w="1200" w:type="dxa"/>
            <w:shd w:val="clear" w:color="auto" w:fill="F1F4EC"/>
            <w:tcMar>
              <w:top w:w="60" w:type="dxa"/>
              <w:left w:w="90" w:type="dxa"/>
              <w:bottom w:w="60" w:type="dxa"/>
              <w:right w:w="90" w:type="dxa"/>
            </w:tcMar>
          </w:tcPr>
          <w:p>
            <w:pPr>
              <w:spacing w:after="0" w:line="264" w:lineRule="auto"/>
            </w:pPr>
            <w:r>
              <w:rPr>
                <w:rFonts w:ascii="Cambria" w:hAnsi="Cambria"/>
                <w:b/>
                <w:color w:val="1C1C1C"/>
                <w:sz w:val="18"/>
              </w:rPr>
              <w:t xml:space="preserve">Ebene 2</w:t>
            </w:r>
          </w:p>
        </w:tc>
        <w:tc>
          <w:tcPr>
            <w:tcW w:w="3913" w:type="dxa"/>
            <w:shd w:val="clear" w:color="auto" w:fill="F1F4EC"/>
            <w:tcMar>
              <w:top w:w="60" w:type="dxa"/>
              <w:left w:w="90" w:type="dxa"/>
              <w:bottom w:w="60" w:type="dxa"/>
              <w:right w:w="90" w:type="dxa"/>
            </w:tcMar>
          </w:tcPr>
          <w:p>
            <w:pPr>
              <w:spacing w:after="40" w:line="264" w:lineRule="auto"/>
            </w:pPr>
            <w:r>
              <w:rPr>
                <w:rFonts w:ascii="Cambria" w:hAnsi="Cambria"/>
                <w:color w:val="1C1C1C"/>
                <w:sz w:val="18"/>
              </w:rPr>
              <w:t xml:space="preserve">e)  Sonderfall von Hand nachgerechnet, dann verallgemeinert</w:t>
            </w:r>
          </w:p>
          <w:p>
            <w:pPr>
              <w:spacing w:after="0" w:line="264" w:lineRule="auto"/>
            </w:pPr>
            <w:r>
              <w:rPr>
                <w:rFonts w:ascii="Cambria" w:hAnsi="Cambria"/>
                <w:color w:val="1C1C1C"/>
                <w:sz w:val="18"/>
              </w:rPr>
              <w:t xml:space="preserve">m)  selbst gemessen, mit Begründung warum nicht aus der Literatur</w:t>
            </w:r>
          </w:p>
        </w:tc>
        <w:tc>
          <w:tcPr>
            <w:tcW w:w="3913" w:type="dxa"/>
            <w:shd w:val="clear" w:color="auto" w:fill="F1F4EC"/>
            <w:tcMar>
              <w:top w:w="60" w:type="dxa"/>
              <w:left w:w="90" w:type="dxa"/>
              <w:bottom w:w="60" w:type="dxa"/>
              <w:right w:w="90" w:type="dxa"/>
            </w:tcMar>
          </w:tcPr>
          <w:p>
            <w:pPr>
              <w:spacing w:after="40" w:line="264" w:lineRule="auto"/>
            </w:pPr>
            <w:r>
              <w:rPr>
                <w:rFonts w:ascii="Cambria" w:hAnsi="Cambria"/>
                <w:color w:val="1C1C1C"/>
                <w:sz w:val="18"/>
              </w:rPr>
              <w:t xml:space="preserve">f)  Grenze benannt und auf eine Annahme zurückgeführt</w:t>
            </w:r>
          </w:p>
          <w:p>
            <w:pPr>
              <w:spacing w:after="0" w:line="264" w:lineRule="auto"/>
            </w:pPr>
            <w:r>
              <w:rPr>
                <w:rFonts w:ascii="Cambria" w:hAnsi="Cambria"/>
                <w:color w:val="1C1C1C"/>
                <w:sz w:val="18"/>
              </w:rPr>
              <w:t xml:space="preserve">h)  zwei Verfahren verglichen, mit Vor- und Nachteil</w:t>
            </w:r>
          </w:p>
        </w:tc>
      </w:tr>
      <w:tr>
        <w:trPr>
          <w:cantSplit/>
        </w:trPr>
        <w:tc>
          <w:tcPr>
            <w:tcW w:w="1200" w:type="dxa"/>
            <w:tcMar>
              <w:top w:w="60" w:type="dxa"/>
              <w:left w:w="90" w:type="dxa"/>
              <w:bottom w:w="60" w:type="dxa"/>
              <w:right w:w="90" w:type="dxa"/>
            </w:tcMar>
          </w:tcPr>
          <w:p>
            <w:pPr>
              <w:spacing w:after="0" w:line="264" w:lineRule="auto"/>
            </w:pPr>
            <w:r>
              <w:rPr>
                <w:rFonts w:ascii="Cambria" w:hAnsi="Cambria"/>
                <w:b/>
                <w:color w:val="1C1C1C"/>
                <w:sz w:val="18"/>
              </w:rPr>
              <w:t xml:space="preserve">Ebene 1</w:t>
            </w:r>
          </w:p>
        </w:tc>
        <w:tc>
          <w:tcPr>
            <w:tcW w:w="3913" w:type="dxa"/>
            <w:tcMar>
              <w:top w:w="60" w:type="dxa"/>
              <w:left w:w="90" w:type="dxa"/>
              <w:bottom w:w="60" w:type="dxa"/>
              <w:right w:w="90" w:type="dxa"/>
            </w:tcMar>
          </w:tcPr>
          <w:p>
            <w:pPr>
              <w:spacing w:after="0" w:line="264" w:lineRule="auto"/>
            </w:pPr>
            <w:r>
              <w:rPr>
                <w:rFonts w:ascii="Cambria" w:hAnsi="Cambria"/>
                <w:color w:val="1C1C1C"/>
                <w:sz w:val="18"/>
              </w:rPr>
              <w:t xml:space="preserve">c)  persönlicher Anlass für die Themenwahl</w:t>
            </w:r>
          </w:p>
        </w:tc>
        <w:tc>
          <w:tcPr>
            <w:tcW w:w="3913" w:type="dxa"/>
            <w:tcMar>
              <w:top w:w="60" w:type="dxa"/>
              <w:left w:w="90" w:type="dxa"/>
              <w:bottom w:w="60" w:type="dxa"/>
              <w:right w:w="90" w:type="dxa"/>
            </w:tcMar>
          </w:tcPr>
          <w:p>
            <w:pPr>
              <w:spacing w:after="0" w:line="264" w:lineRule="auto"/>
            </w:pPr>
            <w:r>
              <w:rPr>
                <w:rFonts w:ascii="Cambria" w:hAnsi="Cambria"/>
                <w:color w:val="1C1C1C"/>
                <w:sz w:val="18"/>
              </w:rPr>
              <w:t xml:space="preserve">d)  „passt gut“ – reine Beschreibung des Ergebnisses</w:t>
            </w:r>
          </w:p>
        </w:tc>
      </w:tr>
      <w:tr>
        <w:trPr>
          <w:cantSplit/>
        </w:trPr>
        <w:tc>
          <w:tcPr>
            <w:tcW w:w="1200" w:type="dxa"/>
            <w:shd w:val="clear" w:color="auto" w:fill="F1F4EC"/>
            <w:tcMar>
              <w:top w:w="60" w:type="dxa"/>
              <w:left w:w="90" w:type="dxa"/>
              <w:bottom w:w="60" w:type="dxa"/>
              <w:right w:w="90" w:type="dxa"/>
            </w:tcMar>
          </w:tcPr>
          <w:p>
            <w:pPr>
              <w:spacing w:after="0" w:line="264" w:lineRule="auto"/>
            </w:pPr>
            <w:r>
              <w:rPr>
                <w:rFonts w:ascii="Cambria" w:hAnsi="Cambria"/>
                <w:b/>
                <w:color w:val="1C1C1C"/>
                <w:sz w:val="18"/>
              </w:rPr>
              <w:t xml:space="preserve">Zählt nicht</w:t>
            </w:r>
          </w:p>
        </w:tc>
        <w:tc>
          <w:tcPr>
            <w:tcW w:w="3913" w:type="dxa"/>
            <w:shd w:val="clear" w:color="auto" w:fill="F1F4EC"/>
            <w:tcMar>
              <w:top w:w="60" w:type="dxa"/>
              <w:left w:w="90" w:type="dxa"/>
              <w:bottom w:w="60" w:type="dxa"/>
              <w:right w:w="90" w:type="dxa"/>
            </w:tcMar>
          </w:tcPr>
          <w:p>
            <w:pPr>
              <w:spacing w:after="40" w:line="264" w:lineRule="auto"/>
            </w:pPr>
            <w:r>
              <w:rPr>
                <w:rFonts w:ascii="Cambria" w:hAnsi="Cambria"/>
                <w:color w:val="1C1C1C"/>
                <w:sz w:val="18"/>
              </w:rPr>
              <w:t xml:space="preserve">a)  Stundenzahl – Einsatz ist kein Maß für Anstrengung</w:t>
            </w:r>
          </w:p>
          <w:p>
            <w:pPr>
              <w:spacing w:after="0" w:line="264" w:lineRule="auto"/>
            </w:pPr>
            <w:r>
              <w:rPr>
                <w:rFonts w:ascii="Cambria" w:hAnsi="Cambria"/>
                <w:color w:val="1C1C1C"/>
                <w:sz w:val="18"/>
              </w:rPr>
              <w:t xml:space="preserve">k)  bloße Angabe der Datenherkunft</w:t>
            </w:r>
          </w:p>
        </w:tc>
        <w:tc>
          <w:tcPr>
            <w:tcW w:w="3913" w:type="dxa"/>
            <w:shd w:val="clear" w:color="auto" w:fill="F1F4EC"/>
            <w:tcMar>
              <w:top w:w="60" w:type="dxa"/>
              <w:left w:w="90" w:type="dxa"/>
              <w:bottom w:w="60" w:type="dxa"/>
              <w:right w:w="90" w:type="dxa"/>
            </w:tcMar>
          </w:tcPr>
          <w:p>
            <w:pPr>
              <w:spacing w:after="40" w:line="264" w:lineRule="auto"/>
            </w:pPr>
            <w:r>
              <w:rPr>
                <w:rFonts w:ascii="Cambria" w:hAnsi="Cambria"/>
                <w:color w:val="1C1C1C"/>
                <w:sz w:val="18"/>
              </w:rPr>
              <w:t xml:space="preserve">b)  reines Ergebnis ohne Kommentar</w:t>
            </w:r>
          </w:p>
          <w:p>
            <w:pPr>
              <w:spacing w:after="0" w:line="264" w:lineRule="auto"/>
            </w:pPr>
            <w:r>
              <w:rPr>
                <w:rFonts w:ascii="Cambria" w:hAnsi="Cambria"/>
                <w:color w:val="1C1C1C"/>
                <w:sz w:val="18"/>
              </w:rPr>
              <w:t xml:space="preserve">n)  „viel gelernt, sehr spannend“</w:t>
            </w:r>
          </w:p>
        </w:tc>
      </w:tr>
    </w:tbl>
    <w:p>
      <w:pPr>
        <w:spacing w:after="120" w:line="288" w:lineRule="auto"/>
      </w:pP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1F4EC"/>
            <w:tcBorders>
              <w:left w:val="single" w:sz="26" w:space="0" w:color="8FB840"/>
            </w:tcBorders>
            <w:tcMar>
              <w:top w:w="150" w:type="dxa"/>
              <w:left w:w="220" w:type="dxa"/>
              <w:bottom w:w="150" w:type="dxa"/>
              <w:right w:w="200" w:type="dxa"/>
            </w:tcMar>
          </w:tcPr>
          <w:p>
            <w:pPr>
              <w:spacing w:after="80" w:line="288" w:lineRule="auto"/>
            </w:pPr>
            <w:r>
              <w:rPr>
                <w:rFonts w:ascii="Calibri" w:hAnsi="Calibri"/>
                <w:b/>
                <w:color w:val="0F3D2A"/>
                <w:sz w:val="22"/>
              </w:rPr>
              <w:t xml:space="preserve">Die drei Karten, über die gestritten wird</w:t>
            </w:r>
          </w:p>
          <w:p>
            <w:pPr>
              <w:spacing w:after="60" w:line="288" w:lineRule="auto"/>
            </w:pPr>
            <w:r>
              <w:rPr>
                <w:rFonts w:ascii="Cambria" w:hAnsi="Cambria"/>
                <w:color w:val="1C1C1C"/>
                <w:sz w:val="20"/>
              </w:rPr>
              <w:t xml:space="preserve">m) – Ebene 2 oder 3? Die Begründung „weil die Literatur die Messmethode nicht angibt“ ist schon ein eigener kritischer Zugriff. Wer 3 vergibt, hat gute Gründe.</w:t>
            </w:r>
          </w:p>
          <w:p>
            <w:pPr>
              <w:spacing w:after="60" w:line="288" w:lineRule="auto"/>
            </w:pPr>
            <w:r>
              <w:rPr>
                <w:rFonts w:ascii="Cambria" w:hAnsi="Cambria"/>
                <w:color w:val="1C1C1C"/>
                <w:sz w:val="20"/>
              </w:rPr>
              <w:t xml:space="preserve">c) – Ebene 1 oder „zählt nicht“? Ein persönlicher Anlass allein ist noch kein Einsatz in der Mathematik. Ebene 1 verlangt aber nur „ein gewisses Maß“.</w:t>
            </w:r>
          </w:p>
          <w:p>
            <w:pPr>
              <w:spacing w:after="60" w:line="288" w:lineRule="auto"/>
            </w:pPr>
            <w:r>
              <w:rPr>
                <w:rFonts w:ascii="Cambria" w:hAnsi="Cambria"/>
                <w:color w:val="1C1C1C"/>
                <w:sz w:val="20"/>
              </w:rPr>
              <w:t xml:space="preserve">h) – Ebene 2 oder 3? Ein Vergleich zweier Verfahren steht im Handbuch unter „sinnvoll“. Käme dazu, was daraus für das weitere Vorgehen folgt, wäre es Ebene 3. Genau dieser Zusatz fehlt – und genau das ist der Unterschied, den die Lerngruppe erkennen soll.</w:t>
            </w:r>
          </w:p>
        </w:tc>
      </w:tr>
    </w:tbl>
    <w:p>
      <w:pPr>
        <w:spacing w:after="120" w:line="288" w:lineRule="auto"/>
      </w:pPr>
    </w:p>
    <w:p>
      <w:r>
        <w:br w:type="page"/>
      </w:r>
    </w:p>
    <w:p>
      <w:pPr>
        <w:pStyle w:val="KPKapitel"/>
        <w:spacing w:line="288" w:lineRule="auto"/>
      </w:pPr>
      <w:r>
        <w:rPr>
          <w:rFonts w:ascii="Calibri" w:hAnsi="Calibri"/>
          <w:b/>
          <w:color w:val="0F3D2A"/>
          <w:sz w:val="32"/>
        </w:rPr>
        <w:t xml:space="preserve">Zu M 8: Reicht die Mathematik?</w:t>
      </w:r>
    </w:p>
    <w:p>
      <w:pPr>
        <w:pStyle w:val="KPKlein"/>
        <w:spacing w:line="288" w:lineRule="auto"/>
      </w:pPr>
      <w:r>
        <w:rPr>
          <w:rFonts w:ascii="Calibri" w:hAnsi="Calibri"/>
          <w:color w:val="5E5E5E"/>
          <w:sz w:val="18"/>
        </w:rPr>
        <w:t xml:space="preserve">Die Blocknummern sind gegen die endgültige Blockliste des Kursbuchs zu prüfen. Es geht in der Aufgabe nicht um die richtige Nummer, sondern um das Urteil in der letzten Spalte.</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500"/>
        <w:gridCol w:w="1700"/>
        <w:gridCol w:w="3413"/>
        <w:gridCol w:w="3413"/>
      </w:tblGrid>
      <w:tr>
        <w:trPr>
          <w:tblHeader w:val="true"/>
          <w:cantSplit/>
        </w:trPr>
        <w:tc>
          <w:tcPr>
            <w:tcW w:w="5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Nr.</w:t>
            </w:r>
          </w:p>
        </w:tc>
        <w:tc>
          <w:tcPr>
            <w:tcW w:w="17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Erwartete Blöcke</w:t>
            </w:r>
          </w:p>
        </w:tc>
        <w:tc>
          <w:tcPr>
            <w:tcW w:w="3413"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Standard Level</w:t>
            </w:r>
          </w:p>
        </w:tc>
        <w:tc>
          <w:tcPr>
            <w:tcW w:w="3413"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Higher Level</w:t>
            </w:r>
          </w:p>
        </w:tc>
      </w:tr>
      <w:tr>
        <w:trPr>
          <w:cantSplit/>
        </w:trPr>
        <w:tc>
          <w:tcPr>
            <w:tcW w:w="500" w:type="dxa"/>
            <w:tcMar>
              <w:top w:w="60" w:type="dxa"/>
              <w:left w:w="90" w:type="dxa"/>
              <w:bottom w:w="60" w:type="dxa"/>
              <w:right w:w="90" w:type="dxa"/>
            </w:tcMar>
          </w:tcPr>
          <w:p>
            <w:pPr>
              <w:spacing w:after="0" w:line="264" w:lineRule="auto"/>
            </w:pPr>
            <w:r>
              <w:rPr>
                <w:rFonts w:ascii="Cambria" w:hAnsi="Cambria"/>
                <w:b/>
                <w:color w:val="1C1C1C"/>
                <w:sz w:val="18"/>
              </w:rPr>
              <w:t xml:space="preserve">1</w:t>
            </w:r>
          </w:p>
        </w:tc>
        <w:tc>
          <w:tcPr>
            <w:tcW w:w="1700" w:type="dxa"/>
            <w:tcMar>
              <w:top w:w="60" w:type="dxa"/>
              <w:left w:w="90" w:type="dxa"/>
              <w:bottom w:w="60" w:type="dxa"/>
              <w:right w:w="90" w:type="dxa"/>
            </w:tcMar>
          </w:tcPr>
          <w:p>
            <w:pPr>
              <w:spacing w:after="0" w:line="264" w:lineRule="auto"/>
            </w:pPr>
            <w:r>
              <w:rPr>
                <w:rFonts w:ascii="Cambria" w:hAnsi="Cambria"/>
                <w:color w:val="1C1C1C"/>
                <w:sz w:val="18"/>
              </w:rPr>
              <w:t xml:space="preserve">B 5.7, B 5.2, B 3.1</w:t>
            </w:r>
          </w:p>
        </w:tc>
        <w:tc>
          <w:tcPr>
            <w:tcW w:w="3413" w:type="dxa"/>
            <w:tcMar>
              <w:top w:w="60" w:type="dxa"/>
              <w:left w:w="90" w:type="dxa"/>
              <w:bottom w:w="60" w:type="dxa"/>
              <w:right w:w="90" w:type="dxa"/>
            </w:tcMar>
          </w:tcPr>
          <w:p>
            <w:pPr>
              <w:spacing w:after="0" w:line="264" w:lineRule="auto"/>
            </w:pPr>
            <w:r>
              <w:rPr>
                <w:rFonts w:ascii="Cambria" w:hAnsi="Cambria"/>
                <w:color w:val="1C1C1C"/>
                <w:sz w:val="18"/>
              </w:rPr>
              <w:t xml:space="preserve">Trägt knapp. Die Standarddose ist eine Lehrbuchaufgabe und nach einer Seite erledigt. Trägt, sobald eine echte, unregelmäßige Verpackung vermessen wird.</w:t>
            </w:r>
          </w:p>
        </w:tc>
        <w:tc>
          <w:tcPr>
            <w:tcW w:w="3413" w:type="dxa"/>
            <w:tcMar>
              <w:top w:w="60" w:type="dxa"/>
              <w:left w:w="90" w:type="dxa"/>
              <w:bottom w:w="60" w:type="dxa"/>
              <w:right w:w="90" w:type="dxa"/>
            </w:tcMar>
          </w:tcPr>
          <w:p>
            <w:pPr>
              <w:spacing w:after="0" w:line="264" w:lineRule="auto"/>
            </w:pPr>
            <w:r>
              <w:rPr>
                <w:rFonts w:ascii="Cambria" w:hAnsi="Cambria"/>
                <w:color w:val="1C1C1C"/>
                <w:sz w:val="18"/>
              </w:rPr>
              <w:t xml:space="preserve">Trägt nicht ohne Erweiterung, etwa Verschnitt beim Zuschnitt oder verwandte Änderungsraten.</w:t>
            </w:r>
          </w:p>
        </w:tc>
      </w:tr>
      <w:tr>
        <w:trPr>
          <w:cantSplit/>
        </w:trPr>
        <w:tc>
          <w:tcPr>
            <w:tcW w:w="500" w:type="dxa"/>
            <w:shd w:val="clear" w:color="auto" w:fill="F1F4EC"/>
            <w:tcMar>
              <w:top w:w="60" w:type="dxa"/>
              <w:left w:w="90" w:type="dxa"/>
              <w:bottom w:w="60" w:type="dxa"/>
              <w:right w:w="90" w:type="dxa"/>
            </w:tcMar>
          </w:tcPr>
          <w:p>
            <w:pPr>
              <w:spacing w:after="0" w:line="264" w:lineRule="auto"/>
            </w:pPr>
            <w:r>
              <w:rPr>
                <w:rFonts w:ascii="Cambria" w:hAnsi="Cambria"/>
                <w:b/>
                <w:color w:val="1C1C1C"/>
                <w:sz w:val="18"/>
              </w:rPr>
              <w:t xml:space="preserve">2</w:t>
            </w:r>
          </w:p>
        </w:tc>
        <w:tc>
          <w:tcPr>
            <w:tcW w:w="1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B 4.1, B 4.2, evtl. B 2.7</w:t>
            </w:r>
          </w:p>
        </w:tc>
        <w:tc>
          <w:tcPr>
            <w:tcW w:w="3413"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Trägt. Eigene Daten, klare Frage, Modellkritik möglich.</w:t>
            </w:r>
          </w:p>
        </w:tc>
        <w:tc>
          <w:tcPr>
            <w:tcW w:w="3413"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Trägt knapp. Eine lineare Regression allein ist kein Anspruch; es braucht einen Modellvergleich oder eine Verteilungsbetrachtung.</w:t>
            </w:r>
          </w:p>
        </w:tc>
      </w:tr>
      <w:tr>
        <w:trPr>
          <w:cantSplit/>
        </w:trPr>
        <w:tc>
          <w:tcPr>
            <w:tcW w:w="500" w:type="dxa"/>
            <w:tcMar>
              <w:top w:w="60" w:type="dxa"/>
              <w:left w:w="90" w:type="dxa"/>
              <w:bottom w:w="60" w:type="dxa"/>
              <w:right w:w="90" w:type="dxa"/>
            </w:tcMar>
          </w:tcPr>
          <w:p>
            <w:pPr>
              <w:spacing w:after="0" w:line="264" w:lineRule="auto"/>
            </w:pPr>
            <w:r>
              <w:rPr>
                <w:rFonts w:ascii="Cambria" w:hAnsi="Cambria"/>
                <w:b/>
                <w:color w:val="1C1C1C"/>
                <w:sz w:val="18"/>
              </w:rPr>
              <w:t xml:space="preserve">3</w:t>
            </w:r>
          </w:p>
        </w:tc>
        <w:tc>
          <w:tcPr>
            <w:tcW w:w="1700" w:type="dxa"/>
            <w:tcMar>
              <w:top w:w="60" w:type="dxa"/>
              <w:left w:w="90" w:type="dxa"/>
              <w:bottom w:w="60" w:type="dxa"/>
              <w:right w:w="90" w:type="dxa"/>
            </w:tcMar>
          </w:tcPr>
          <w:p>
            <w:pPr>
              <w:spacing w:after="0" w:line="264" w:lineRule="auto"/>
            </w:pPr>
            <w:r>
              <w:rPr>
                <w:rFonts w:ascii="Cambria" w:hAnsi="Cambria"/>
                <w:color w:val="1C1C1C"/>
                <w:sz w:val="18"/>
              </w:rPr>
              <w:t xml:space="preserve">H 1.7, H 1.8, H 1.9</w:t>
            </w:r>
          </w:p>
        </w:tc>
        <w:tc>
          <w:tcPr>
            <w:tcW w:w="3413" w:type="dxa"/>
            <w:tcMar>
              <w:top w:w="60" w:type="dxa"/>
              <w:left w:w="90" w:type="dxa"/>
              <w:bottom w:w="60" w:type="dxa"/>
              <w:right w:w="90" w:type="dxa"/>
            </w:tcMar>
          </w:tcPr>
          <w:p>
            <w:pPr>
              <w:spacing w:after="0" w:line="264" w:lineRule="auto"/>
            </w:pPr>
            <w:r>
              <w:rPr>
                <w:rFonts w:ascii="Cambria" w:hAnsi="Cambria"/>
                <w:color w:val="1C1C1C"/>
                <w:sz w:val="18"/>
              </w:rPr>
              <w:t xml:space="preserve">Trägt nicht – die komplexe Zahlenebene steht nicht im Standard-Level-Lehrplan.</w:t>
            </w:r>
          </w:p>
        </w:tc>
        <w:tc>
          <w:tcPr>
            <w:tcW w:w="3413" w:type="dxa"/>
            <w:tcMar>
              <w:top w:w="60" w:type="dxa"/>
              <w:left w:w="90" w:type="dxa"/>
              <w:bottom w:w="60" w:type="dxa"/>
              <w:right w:w="90" w:type="dxa"/>
            </w:tcMar>
          </w:tcPr>
          <w:p>
            <w:pPr>
              <w:spacing w:after="0" w:line="264" w:lineRule="auto"/>
            </w:pPr>
            <w:r>
              <w:rPr>
                <w:rFonts w:ascii="Cambria" w:hAnsi="Cambria"/>
                <w:color w:val="1C1C1C"/>
                <w:sz w:val="18"/>
              </w:rPr>
              <w:t xml:space="preserve">Trägt. Anspruch und Stringenz sind hier leicht zu erreichen, wenn die Summenformel bewiesen statt bestätigt wird.</w:t>
            </w:r>
          </w:p>
        </w:tc>
      </w:tr>
      <w:tr>
        <w:trPr>
          <w:cantSplit/>
        </w:trPr>
        <w:tc>
          <w:tcPr>
            <w:tcW w:w="500" w:type="dxa"/>
            <w:shd w:val="clear" w:color="auto" w:fill="F1F4EC"/>
            <w:tcMar>
              <w:top w:w="60" w:type="dxa"/>
              <w:left w:w="90" w:type="dxa"/>
              <w:bottom w:w="60" w:type="dxa"/>
              <w:right w:w="90" w:type="dxa"/>
            </w:tcMar>
          </w:tcPr>
          <w:p>
            <w:pPr>
              <w:spacing w:after="0" w:line="264" w:lineRule="auto"/>
            </w:pPr>
            <w:r>
              <w:rPr>
                <w:rFonts w:ascii="Cambria" w:hAnsi="Cambria"/>
                <w:b/>
                <w:color w:val="1C1C1C"/>
                <w:sz w:val="18"/>
              </w:rPr>
              <w:t xml:space="preserve">4</w:t>
            </w:r>
          </w:p>
        </w:tc>
        <w:tc>
          <w:tcPr>
            <w:tcW w:w="1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B 3.5, B 2.5, B 4.2</w:t>
            </w:r>
          </w:p>
        </w:tc>
        <w:tc>
          <w:tcPr>
            <w:tcW w:w="3413"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Trägt. Besonders die Deutung der vier Parameter demonstriert Verständnis.</w:t>
            </w:r>
          </w:p>
        </w:tc>
        <w:tc>
          <w:tcPr>
            <w:tcW w:w="3413"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Trägt knapp. Parameteranpassung reicht nicht; Residuenanalyse oder Modellvergleich ergänzen.</w:t>
            </w:r>
          </w:p>
        </w:tc>
      </w:tr>
      <w:tr>
        <w:trPr>
          <w:cantSplit/>
        </w:trPr>
        <w:tc>
          <w:tcPr>
            <w:tcW w:w="500" w:type="dxa"/>
            <w:tcMar>
              <w:top w:w="60" w:type="dxa"/>
              <w:left w:w="90" w:type="dxa"/>
              <w:bottom w:w="60" w:type="dxa"/>
              <w:right w:w="90" w:type="dxa"/>
            </w:tcMar>
          </w:tcPr>
          <w:p>
            <w:pPr>
              <w:spacing w:after="0" w:line="264" w:lineRule="auto"/>
            </w:pPr>
            <w:r>
              <w:rPr>
                <w:rFonts w:ascii="Cambria" w:hAnsi="Cambria"/>
                <w:b/>
                <w:color w:val="1C1C1C"/>
                <w:sz w:val="18"/>
              </w:rPr>
              <w:t xml:space="preserve">5</w:t>
            </w:r>
          </w:p>
        </w:tc>
        <w:tc>
          <w:tcPr>
            <w:tcW w:w="1700" w:type="dxa"/>
            <w:tcMar>
              <w:top w:w="60" w:type="dxa"/>
              <w:left w:w="90" w:type="dxa"/>
              <w:bottom w:w="60" w:type="dxa"/>
              <w:right w:w="90" w:type="dxa"/>
            </w:tcMar>
          </w:tcPr>
          <w:p>
            <w:pPr>
              <w:spacing w:after="0" w:line="264" w:lineRule="auto"/>
            </w:pPr>
            <w:r>
              <w:rPr>
                <w:rFonts w:ascii="Cambria" w:hAnsi="Cambria"/>
                <w:color w:val="1C1C1C"/>
                <w:sz w:val="18"/>
              </w:rPr>
              <w:t xml:space="preserve">B 5.8 f. bzw. H 5.7</w:t>
            </w:r>
          </w:p>
        </w:tc>
        <w:tc>
          <w:tcPr>
            <w:tcW w:w="3413" w:type="dxa"/>
            <w:tcMar>
              <w:top w:w="60" w:type="dxa"/>
              <w:left w:w="90" w:type="dxa"/>
              <w:bottom w:w="60" w:type="dxa"/>
              <w:right w:w="90" w:type="dxa"/>
            </w:tcMar>
          </w:tcPr>
          <w:p>
            <w:pPr>
              <w:spacing w:after="0" w:line="264" w:lineRule="auto"/>
            </w:pPr>
            <w:r>
              <w:rPr>
                <w:rFonts w:ascii="Cambria" w:hAnsi="Cambria"/>
                <w:color w:val="1C1C1C"/>
                <w:sz w:val="18"/>
              </w:rPr>
              <w:t xml:space="preserve">Trägt, wenn Rotationskörper um die x-Achse im Kurs behandelt sind. Die eigene Umrissfunktion ist der Zugang für Kriterium C.</w:t>
            </w:r>
          </w:p>
        </w:tc>
        <w:tc>
          <w:tcPr>
            <w:tcW w:w="3413" w:type="dxa"/>
            <w:tcMar>
              <w:top w:w="60" w:type="dxa"/>
              <w:left w:w="90" w:type="dxa"/>
              <w:bottom w:w="60" w:type="dxa"/>
              <w:right w:w="90" w:type="dxa"/>
            </w:tcMar>
          </w:tcPr>
          <w:p>
            <w:pPr>
              <w:spacing w:after="0" w:line="264" w:lineRule="auto"/>
            </w:pPr>
            <w:r>
              <w:rPr>
                <w:rFonts w:ascii="Cambria" w:hAnsi="Cambria"/>
                <w:color w:val="1C1C1C"/>
                <w:sz w:val="18"/>
              </w:rPr>
              <w:t xml:space="preserve">Trägt, wenn um eine andere Achse rotiert oder mit Substitution beziehungsweise partieller Integration gearbeitet wird.</w:t>
            </w:r>
          </w:p>
        </w:tc>
      </w:tr>
      <w:tr>
        <w:trPr>
          <w:cantSplit/>
        </w:trPr>
        <w:tc>
          <w:tcPr>
            <w:tcW w:w="500" w:type="dxa"/>
            <w:shd w:val="clear" w:color="auto" w:fill="F1F4EC"/>
            <w:tcMar>
              <w:top w:w="60" w:type="dxa"/>
              <w:left w:w="90" w:type="dxa"/>
              <w:bottom w:w="60" w:type="dxa"/>
              <w:right w:w="90" w:type="dxa"/>
            </w:tcMar>
          </w:tcPr>
          <w:p>
            <w:pPr>
              <w:spacing w:after="0" w:line="264" w:lineRule="auto"/>
            </w:pPr>
            <w:r>
              <w:rPr>
                <w:rFonts w:ascii="Cambria" w:hAnsi="Cambria"/>
                <w:b/>
                <w:color w:val="1C1C1C"/>
                <w:sz w:val="18"/>
              </w:rPr>
              <w:t xml:space="preserve">6</w:t>
            </w:r>
          </w:p>
        </w:tc>
        <w:tc>
          <w:tcPr>
            <w:tcW w:w="1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B 4.3 bis B 4.6 bzw. H 4.2, H 4.3</w:t>
            </w:r>
          </w:p>
        </w:tc>
        <w:tc>
          <w:tcPr>
            <w:tcW w:w="3413"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Trägt. Wichtig ist, dass eine Alternative gebaut und verglichen wird, nicht nur beschrieben.</w:t>
            </w:r>
          </w:p>
        </w:tc>
        <w:tc>
          <w:tcPr>
            <w:tcW w:w="3413"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Trägt, wenn eine Verteilung hergeleitet und nicht nur simuliert wird.</w:t>
            </w:r>
          </w:p>
        </w:tc>
      </w:tr>
    </w:tbl>
    <w:p>
      <w:pPr>
        <w:spacing w:after="120" w:line="288" w:lineRule="auto"/>
      </w:pPr>
    </w:p>
    <w:p>
      <w:r>
        <w:br w:type="page"/>
      </w:r>
    </w:p>
    <w:p>
      <w:pPr>
        <w:pStyle w:val="KPKapitel"/>
        <w:spacing w:line="288" w:lineRule="auto"/>
      </w:pPr>
      <w:r>
        <w:rPr>
          <w:rFonts w:ascii="Calibri" w:hAnsi="Calibri"/>
          <w:b/>
          <w:color w:val="0F3D2A"/>
          <w:sz w:val="32"/>
        </w:rPr>
        <w:t xml:space="preserve">Zu M 12: Formular A, ausgefüllt</w:t>
      </w:r>
    </w:p>
    <w:p>
      <w:pPr>
        <w:pStyle w:val="KPKlein"/>
        <w:spacing w:line="288" w:lineRule="auto"/>
      </w:pPr>
      <w:r>
        <w:rPr>
          <w:rFonts w:ascii="Calibri" w:hAnsi="Calibri"/>
          <w:color w:val="5E5E5E"/>
          <w:sz w:val="18"/>
        </w:rPr>
        <w:t xml:space="preserve">Ein Musterformular für Doppelstunde 6. Es zeigt, wie ausführlich die sechs Felder gemeint sind – und wo die Grenze zwischen tragfähig und zu dünn liegt.</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6826"/>
        <w:gridCol w:w="2200"/>
      </w:tblGrid>
      <w:tr>
        <w:trPr>
          <w:cantSplit/>
        </w:trPr>
        <w:tc>
          <w:tcPr>
            <w:tcW w:w="6826" w:type="dxa"/>
            <w:tcMar>
              <w:top w:w="60" w:type="dxa"/>
              <w:left w:w="90" w:type="dxa"/>
              <w:bottom w:w="60" w:type="dxa"/>
              <w:right w:w="90" w:type="dxa"/>
            </w:tcMar>
          </w:tcPr>
          <w:p>
            <w:pPr>
              <w:spacing w:after="0" w:line="264" w:lineRule="auto"/>
            </w:pPr>
            <w:r>
              <w:rPr>
                <w:rFonts w:ascii="Cambria" w:hAnsi="Cambria"/>
                <w:color w:val="1C1C1C"/>
                <w:sz w:val="19"/>
              </w:rPr>
              <w:t xml:space="preserve">Mathematik: Analyse und Ansätze  ·  Standard Level</w:t>
            </w:r>
          </w:p>
        </w:tc>
        <w:tc>
          <w:tcPr>
            <w:tcW w:w="2200" w:type="dxa"/>
            <w:tcMar>
              <w:top w:w="60" w:type="dxa"/>
              <w:left w:w="90" w:type="dxa"/>
              <w:bottom w:w="60" w:type="dxa"/>
              <w:right w:w="90" w:type="dxa"/>
            </w:tcMar>
          </w:tcPr>
          <w:p>
            <w:pPr>
              <w:spacing w:after="0" w:line="264" w:lineRule="auto"/>
            </w:pPr>
            <w:r>
              <w:rPr>
                <w:rFonts w:ascii="Cambria" w:hAnsi="Cambria"/>
                <w:color w:val="1C1C1C"/>
                <w:sz w:val="19"/>
              </w:rPr>
              <w:t xml:space="preserve">Formular A</w:t>
            </w:r>
          </w:p>
        </w:tc>
      </w:tr>
    </w:tbl>
    <w:p>
      <w:pPr>
        <w:spacing w:after="120" w:line="288" w:lineRule="auto"/>
      </w:pP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800"/>
        <w:gridCol w:w="2400"/>
        <w:gridCol w:w="700"/>
        <w:gridCol w:w="1300"/>
        <w:gridCol w:w="1600"/>
        <w:gridCol w:w="2226"/>
      </w:tblGrid>
      <w:tr>
        <w:trPr>
          <w:cantSplit/>
        </w:trPr>
        <w:tc>
          <w:tcPr>
            <w:tcW w:w="800" w:type="dxa"/>
            <w:tcMar>
              <w:top w:w="60" w:type="dxa"/>
              <w:left w:w="90" w:type="dxa"/>
              <w:bottom w:w="60" w:type="dxa"/>
              <w:right w:w="90" w:type="dxa"/>
            </w:tcMar>
          </w:tcPr>
          <w:p>
            <w:pPr>
              <w:spacing w:after="0" w:line="264" w:lineRule="auto"/>
            </w:pPr>
            <w:r>
              <w:rPr>
                <w:rFonts w:ascii="Cambria" w:hAnsi="Cambria"/>
                <w:color w:val="1C1C1C"/>
                <w:sz w:val="19"/>
              </w:rPr>
              <w:t xml:space="preserve">Name</w:t>
            </w:r>
          </w:p>
        </w:tc>
        <w:tc>
          <w:tcPr>
            <w:tcW w:w="2400" w:type="dxa"/>
            <w:tcMar>
              <w:top w:w="60" w:type="dxa"/>
              <w:left w:w="90" w:type="dxa"/>
              <w:bottom w:w="60" w:type="dxa"/>
              <w:right w:w="90" w:type="dxa"/>
            </w:tcMar>
          </w:tcPr>
          <w:p>
            <w:pPr>
              <w:spacing w:after="0" w:line="264" w:lineRule="auto"/>
            </w:pPr>
            <w:r>
              <w:rPr>
                <w:rFonts w:ascii="Cambria" w:hAnsi="Cambria"/>
                <w:color w:val="1C1C1C"/>
                <w:sz w:val="19"/>
              </w:rPr>
              <w:t xml:space="preserve">Musterschülerin</w:t>
            </w:r>
          </w:p>
        </w:tc>
        <w:tc>
          <w:tcPr>
            <w:tcW w:w="700" w:type="dxa"/>
            <w:tcMar>
              <w:top w:w="60" w:type="dxa"/>
              <w:left w:w="90" w:type="dxa"/>
              <w:bottom w:w="60" w:type="dxa"/>
              <w:right w:w="90" w:type="dxa"/>
            </w:tcMar>
          </w:tcPr>
          <w:p>
            <w:pPr>
              <w:spacing w:after="0" w:line="264" w:lineRule="auto"/>
            </w:pPr>
            <w:r>
              <w:rPr>
                <w:rFonts w:ascii="Cambria" w:hAnsi="Cambria"/>
                <w:color w:val="1C1C1C"/>
                <w:sz w:val="19"/>
              </w:rPr>
              <w:t xml:space="preserve">Kurs</w:t>
            </w:r>
          </w:p>
        </w:tc>
        <w:tc>
          <w:tcPr>
            <w:tcW w:w="1300" w:type="dxa"/>
            <w:tcMar>
              <w:top w:w="60" w:type="dxa"/>
              <w:left w:w="90" w:type="dxa"/>
              <w:bottom w:w="60" w:type="dxa"/>
              <w:right w:w="90" w:type="dxa"/>
            </w:tcMar>
          </w:tcPr>
          <w:p>
            <w:pPr>
              <w:spacing w:after="0" w:line="264" w:lineRule="auto"/>
            </w:pPr>
            <w:r>
              <w:rPr>
                <w:rFonts w:ascii="Cambria" w:hAnsi="Cambria"/>
                <w:color w:val="1C1C1C"/>
                <w:sz w:val="19"/>
              </w:rPr>
              <w:t xml:space="preserve">SL</w:t>
            </w:r>
          </w:p>
        </w:tc>
        <w:tc>
          <w:tcPr>
            <w:tcW w:w="1600" w:type="dxa"/>
            <w:tcMar>
              <w:top w:w="60" w:type="dxa"/>
              <w:left w:w="90" w:type="dxa"/>
              <w:bottom w:w="60" w:type="dxa"/>
              <w:right w:w="90" w:type="dxa"/>
            </w:tcMar>
          </w:tcPr>
          <w:p>
            <w:pPr>
              <w:spacing w:after="0" w:line="264" w:lineRule="auto"/>
            </w:pPr>
            <w:r>
              <w:rPr>
                <w:rFonts w:ascii="Cambria" w:hAnsi="Cambria"/>
                <w:color w:val="1C1C1C"/>
                <w:sz w:val="19"/>
              </w:rPr>
              <w:t xml:space="preserve">Zurückzugeben bis</w:t>
            </w:r>
          </w:p>
        </w:tc>
        <w:tc>
          <w:tcPr>
            <w:tcW w:w="2226" w:type="dxa"/>
            <w:tcMar>
              <w:top w:w="60" w:type="dxa"/>
              <w:left w:w="90" w:type="dxa"/>
              <w:bottom w:w="60" w:type="dxa"/>
              <w:right w:w="90" w:type="dxa"/>
            </w:tcMar>
          </w:tcPr>
          <w:p>
            <w:pPr>
              <w:spacing w:after="0" w:line="264" w:lineRule="auto"/>
            </w:pPr>
            <w:r>
              <w:rPr>
                <w:rFonts w:ascii="Cambria" w:hAnsi="Cambria"/>
                <w:color w:val="1C1C1C"/>
                <w:sz w:val="19"/>
              </w:rPr>
              <w:t xml:space="preserve">____________</w:t>
            </w:r>
          </w:p>
        </w:tc>
      </w:tr>
    </w:tbl>
    <w:p>
      <w:pPr>
        <w:spacing w:after="120" w:line="288" w:lineRule="auto"/>
      </w:pP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2200"/>
        <w:gridCol w:w="6826"/>
      </w:tblGrid>
      <w:tr>
        <w:trPr>
          <w:tblHeader w:val="true"/>
          <w:cantSplit/>
        </w:trPr>
        <w:tc>
          <w:tcPr>
            <w:tcW w:w="22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Feld</w:t>
            </w:r>
          </w:p>
        </w:tc>
        <w:tc>
          <w:tcPr>
            <w:tcW w:w="68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Eintragung</w:t>
            </w:r>
          </w:p>
        </w:tc>
      </w:tr>
      <w:tr>
        <w:trPr>
          <w:cantSplit/>
        </w:trPr>
        <w:tc>
          <w:tcPr>
            <w:tcW w:w="2200" w:type="dxa"/>
            <w:tcMar>
              <w:top w:w="60" w:type="dxa"/>
              <w:left w:w="90" w:type="dxa"/>
              <w:bottom w:w="60" w:type="dxa"/>
              <w:right w:w="90" w:type="dxa"/>
            </w:tcMar>
          </w:tcPr>
          <w:p>
            <w:pPr>
              <w:spacing w:after="0" w:line="264" w:lineRule="auto"/>
            </w:pPr>
            <w:r>
              <w:rPr>
                <w:rFonts w:ascii="Cambria" w:hAnsi="Cambria"/>
                <w:b/>
                <w:color w:val="1C1C1C"/>
                <w:sz w:val="18"/>
              </w:rPr>
              <w:t xml:space="preserve">1.  Interessengebiet</w:t>
            </w:r>
          </w:p>
        </w:tc>
        <w:tc>
          <w:tcPr>
            <w:tcW w:w="6826" w:type="dxa"/>
            <w:tcMar>
              <w:top w:w="60" w:type="dxa"/>
              <w:left w:w="90" w:type="dxa"/>
              <w:bottom w:w="60" w:type="dxa"/>
              <w:right w:w="90" w:type="dxa"/>
            </w:tcMar>
          </w:tcPr>
          <w:p>
            <w:pPr>
              <w:spacing w:after="0" w:line="264" w:lineRule="auto"/>
            </w:pPr>
            <w:r>
              <w:rPr>
                <w:rFonts w:ascii="Cambria" w:hAnsi="Cambria"/>
                <w:color w:val="1C1C1C"/>
                <w:sz w:val="18"/>
              </w:rPr>
              <w:t xml:space="preserve">Kaffee, Frühstück</w:t>
            </w:r>
          </w:p>
        </w:tc>
      </w:tr>
      <w:tr>
        <w:trPr>
          <w:cantSplit/>
        </w:trPr>
        <w:tc>
          <w:tcPr>
            <w:tcW w:w="2200" w:type="dxa"/>
            <w:shd w:val="clear" w:color="auto" w:fill="F1F4EC"/>
            <w:tcMar>
              <w:top w:w="60" w:type="dxa"/>
              <w:left w:w="90" w:type="dxa"/>
              <w:bottom w:w="60" w:type="dxa"/>
              <w:right w:w="90" w:type="dxa"/>
            </w:tcMar>
          </w:tcPr>
          <w:p>
            <w:pPr>
              <w:spacing w:after="0" w:line="264" w:lineRule="auto"/>
            </w:pPr>
            <w:r>
              <w:rPr>
                <w:rFonts w:ascii="Cambria" w:hAnsi="Cambria"/>
                <w:b/>
                <w:color w:val="1C1C1C"/>
                <w:sz w:val="18"/>
              </w:rPr>
              <w:t xml:space="preserve">2.  Thema</w:t>
            </w:r>
          </w:p>
        </w:tc>
        <w:tc>
          <w:tcPr>
            <w:tcW w:w="68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Wie schnell kühlt mein Kaffee ab? Ein exponentielles Modell im Test.</w:t>
            </w:r>
          </w:p>
        </w:tc>
      </w:tr>
      <w:tr>
        <w:trPr>
          <w:cantSplit/>
        </w:trPr>
        <w:tc>
          <w:tcPr>
            <w:tcW w:w="2200" w:type="dxa"/>
            <w:tcMar>
              <w:top w:w="60" w:type="dxa"/>
              <w:left w:w="90" w:type="dxa"/>
              <w:bottom w:w="60" w:type="dxa"/>
              <w:right w:w="90" w:type="dxa"/>
            </w:tcMar>
          </w:tcPr>
          <w:p>
            <w:pPr>
              <w:spacing w:after="0" w:line="264" w:lineRule="auto"/>
            </w:pPr>
            <w:r>
              <w:rPr>
                <w:rFonts w:ascii="Cambria" w:hAnsi="Cambria"/>
                <w:b/>
                <w:color w:val="1C1C1C"/>
                <w:sz w:val="18"/>
              </w:rPr>
              <w:t xml:space="preserve">3.  Grund für die Wahl</w:t>
            </w:r>
          </w:p>
        </w:tc>
        <w:tc>
          <w:tcPr>
            <w:tcW w:w="6826" w:type="dxa"/>
            <w:tcMar>
              <w:top w:w="60" w:type="dxa"/>
              <w:left w:w="90" w:type="dxa"/>
              <w:bottom w:w="60" w:type="dxa"/>
              <w:right w:w="90" w:type="dxa"/>
            </w:tcMar>
          </w:tcPr>
          <w:p>
            <w:pPr>
              <w:spacing w:after="0" w:line="264" w:lineRule="auto"/>
            </w:pPr>
            <w:r>
              <w:rPr>
                <w:rFonts w:ascii="Cambria" w:hAnsi="Cambria"/>
                <w:color w:val="1C1C1C"/>
                <w:sz w:val="18"/>
              </w:rPr>
              <w:t xml:space="preserve">Ich trinke jeden Morgen vor der Schule einen Kaffee und verpasse regelmäßig das Zeitfenster, in dem er trinkbar ist. Ich will wissen, wie lang dieses Fenster tatsächlich ist. Ich vermute, dass es kürzer ist, als es sich anfühlt – vielleicht fünf Minuten.</w:t>
            </w:r>
          </w:p>
        </w:tc>
      </w:tr>
      <w:tr>
        <w:trPr>
          <w:cantSplit/>
        </w:trPr>
        <w:tc>
          <w:tcPr>
            <w:tcW w:w="2200" w:type="dxa"/>
            <w:shd w:val="clear" w:color="auto" w:fill="F1F4EC"/>
            <w:tcMar>
              <w:top w:w="60" w:type="dxa"/>
              <w:left w:w="90" w:type="dxa"/>
              <w:bottom w:w="60" w:type="dxa"/>
              <w:right w:w="90" w:type="dxa"/>
            </w:tcMar>
          </w:tcPr>
          <w:p>
            <w:pPr>
              <w:spacing w:after="0" w:line="264" w:lineRule="auto"/>
            </w:pPr>
            <w:r>
              <w:rPr>
                <w:rFonts w:ascii="Cambria" w:hAnsi="Cambria"/>
                <w:b/>
                <w:color w:val="1C1C1C"/>
                <w:sz w:val="18"/>
              </w:rPr>
              <w:t xml:space="preserve">4.  Beschreibung der Aufgabe</w:t>
            </w:r>
          </w:p>
        </w:tc>
        <w:tc>
          <w:tcPr>
            <w:tcW w:w="6826" w:type="dxa"/>
            <w:shd w:val="clear" w:color="auto" w:fill="F1F4EC"/>
            <w:tcMar>
              <w:top w:w="60" w:type="dxa"/>
              <w:left w:w="90" w:type="dxa"/>
              <w:bottom w:w="60" w:type="dxa"/>
              <w:right w:w="90" w:type="dxa"/>
            </w:tcMar>
          </w:tcPr>
          <w:p>
            <w:pPr>
              <w:spacing w:after="40" w:line="264" w:lineRule="auto"/>
            </w:pPr>
            <w:r>
              <w:rPr>
                <w:rFonts w:ascii="Cambria" w:hAnsi="Cambria"/>
                <w:color w:val="1C1C1C"/>
                <w:sz w:val="18"/>
              </w:rPr>
              <w:t xml:space="preserve">Fragestellung: Wie gut beschreibt ein exponentielles Modell die Abkühlung meines Kaffees, und wann erreicht er 55 °C?</w:t>
            </w:r>
          </w:p>
          <w:p>
            <w:pPr>
              <w:spacing w:after="40" w:line="264" w:lineRule="auto"/>
            </w:pPr>
            <w:r>
              <w:rPr>
                <w:rFonts w:ascii="Cambria" w:hAnsi="Cambria"/>
                <w:color w:val="1C1C1C"/>
                <w:sz w:val="18"/>
              </w:rPr>
              <w:t xml:space="preserve">Bauart: Modellierung.</w:t>
            </w:r>
          </w:p>
          <w:p>
            <w:pPr>
              <w:spacing w:after="0" w:line="264" w:lineRule="auto"/>
            </w:pPr>
            <w:r>
              <w:rPr>
                <w:rFonts w:ascii="Cambria" w:hAnsi="Cambria"/>
                <w:color w:val="1C1C1C"/>
                <w:sz w:val="18"/>
              </w:rPr>
              <w:t xml:space="preserve">Geplante Mathematik: Exponentialfunktion und Exponentialgleichung (B 2.7, B 2.9), Logarithmengesetze zur Linearisierung (B 2.8), lineare Regression (B 4.2), Ableitung mit der Kettenregel (B 5.3). Zur Prüfung des Modells rechne ich die Abweichungen zwischen Mess- und Modellwerten aus und sehe mir an, ob sie zufällig verteilt sind.</w:t>
            </w:r>
          </w:p>
        </w:tc>
      </w:tr>
      <w:tr>
        <w:trPr>
          <w:cantSplit/>
        </w:trPr>
        <w:tc>
          <w:tcPr>
            <w:tcW w:w="2200" w:type="dxa"/>
            <w:tcMar>
              <w:top w:w="60" w:type="dxa"/>
              <w:left w:w="90" w:type="dxa"/>
              <w:bottom w:w="60" w:type="dxa"/>
              <w:right w:w="90" w:type="dxa"/>
            </w:tcMar>
          </w:tcPr>
          <w:p>
            <w:pPr>
              <w:spacing w:after="0" w:line="264" w:lineRule="auto"/>
            </w:pPr>
            <w:r>
              <w:rPr>
                <w:rFonts w:ascii="Cambria" w:hAnsi="Cambria"/>
                <w:b/>
                <w:color w:val="1C1C1C"/>
                <w:sz w:val="18"/>
              </w:rPr>
              <w:t xml:space="preserve">5.  Gesamtplanung</w:t>
            </w:r>
          </w:p>
        </w:tc>
        <w:tc>
          <w:tcPr>
            <w:tcW w:w="6826" w:type="dxa"/>
            <w:tcMar>
              <w:top w:w="60" w:type="dxa"/>
              <w:left w:w="90" w:type="dxa"/>
              <w:bottom w:w="60" w:type="dxa"/>
              <w:right w:w="90" w:type="dxa"/>
            </w:tcMar>
          </w:tcPr>
          <w:p>
            <w:pPr>
              <w:spacing w:after="40" w:line="264" w:lineRule="auto"/>
            </w:pPr>
            <w:r>
              <w:rPr>
                <w:rFonts w:ascii="Cambria" w:hAnsi="Cambria"/>
                <w:color w:val="1C1C1C"/>
                <w:sz w:val="18"/>
              </w:rPr>
              <w:t xml:space="preserve">Woche 1: Messreihe aufnehmen, zweimal an verschiedenen Tagen.</w:t>
            </w:r>
          </w:p>
          <w:p>
            <w:pPr>
              <w:spacing w:after="40" w:line="264" w:lineRule="auto"/>
            </w:pPr>
            <w:r>
              <w:rPr>
                <w:rFonts w:ascii="Cambria" w:hAnsi="Cambria"/>
                <w:color w:val="1C1C1C"/>
                <w:sz w:val="18"/>
              </w:rPr>
              <w:t xml:space="preserve">Woche 2: Linearisierung und Regression, Modell aufstellen.</w:t>
            </w:r>
          </w:p>
          <w:p>
            <w:pPr>
              <w:spacing w:after="40" w:line="264" w:lineRule="auto"/>
            </w:pPr>
            <w:r>
              <w:rPr>
                <w:rFonts w:ascii="Cambria" w:hAnsi="Cambria"/>
                <w:color w:val="1C1C1C"/>
                <w:sz w:val="18"/>
              </w:rPr>
              <w:t xml:space="preserve">Woche 3: Modell prüfen, Ableitung, Trinktemperatur berechnen.</w:t>
            </w:r>
          </w:p>
          <w:p>
            <w:pPr>
              <w:spacing w:after="40" w:line="264" w:lineRule="auto"/>
            </w:pPr>
            <w:r>
              <w:rPr>
                <w:rFonts w:ascii="Cambria" w:hAnsi="Cambria"/>
                <w:color w:val="1C1C1C"/>
                <w:sz w:val="18"/>
              </w:rPr>
              <w:t xml:space="preserve">Woche 4: Rohfassung schreiben.</w:t>
            </w:r>
          </w:p>
          <w:p>
            <w:pPr>
              <w:spacing w:after="0" w:line="264" w:lineRule="auto"/>
            </w:pPr>
            <w:r>
              <w:rPr>
                <w:rFonts w:ascii="Cambria" w:hAnsi="Cambria"/>
                <w:color w:val="1C1C1C"/>
                <w:sz w:val="18"/>
              </w:rPr>
              <w:t xml:space="preserve">Danach: Rückmeldung abwarten, überarbeiten, Reinfassung.</w:t>
            </w:r>
          </w:p>
        </w:tc>
      </w:tr>
      <w:tr>
        <w:trPr>
          <w:cantSplit/>
        </w:trPr>
        <w:tc>
          <w:tcPr>
            <w:tcW w:w="2200" w:type="dxa"/>
            <w:shd w:val="clear" w:color="auto" w:fill="F1F4EC"/>
            <w:tcMar>
              <w:top w:w="60" w:type="dxa"/>
              <w:left w:w="90" w:type="dxa"/>
              <w:bottom w:w="60" w:type="dxa"/>
              <w:right w:w="90" w:type="dxa"/>
            </w:tcMar>
          </w:tcPr>
          <w:p>
            <w:pPr>
              <w:spacing w:after="0" w:line="264" w:lineRule="auto"/>
            </w:pPr>
            <w:r>
              <w:rPr>
                <w:rFonts w:ascii="Cambria" w:hAnsi="Cambria"/>
                <w:b/>
                <w:color w:val="1C1C1C"/>
                <w:sz w:val="18"/>
              </w:rPr>
              <w:t xml:space="preserve">6.  Impulsmaterial und Datenerfassung</w:t>
            </w:r>
          </w:p>
        </w:tc>
        <w:tc>
          <w:tcPr>
            <w:tcW w:w="6826" w:type="dxa"/>
            <w:shd w:val="clear" w:color="auto" w:fill="F1F4EC"/>
            <w:tcMar>
              <w:top w:w="60" w:type="dxa"/>
              <w:left w:w="90" w:type="dxa"/>
              <w:bottom w:w="60" w:type="dxa"/>
              <w:right w:w="90" w:type="dxa"/>
            </w:tcMar>
          </w:tcPr>
          <w:p>
            <w:pPr>
              <w:spacing w:after="40" w:line="264" w:lineRule="auto"/>
            </w:pPr>
            <w:r>
              <w:rPr>
                <w:rFonts w:ascii="Cambria" w:hAnsi="Cambria"/>
                <w:color w:val="1C1C1C"/>
                <w:sz w:val="18"/>
              </w:rPr>
              <w:t xml:space="preserve">Eigene Messung: 250 ml Filterkaffee, Küchenthermometer mit Ableseg 0,5 °C, Messung alle drei Minuten über 42 Minuten, Raumtemperatur zu Beginn und am Ende notiert. Zwei Reihen, damit ich prüfen kann, ob die Abkühlkonstante reproduzierbar ist.</w:t>
            </w:r>
          </w:p>
          <w:p>
            <w:pPr>
              <w:spacing w:after="0" w:line="264" w:lineRule="auto"/>
            </w:pPr>
            <w:r>
              <w:rPr>
                <w:rFonts w:ascii="Cambria" w:hAnsi="Cambria"/>
                <w:color w:val="1C1C1C"/>
                <w:sz w:val="18"/>
              </w:rPr>
              <w:t xml:space="preserve">Quelle für das Abkühlungsgesetz: Lehrbuch Experimentalphysik, wird im Quellenverzeichnis angegeben.</w:t>
            </w:r>
          </w:p>
        </w:tc>
      </w:tr>
    </w:tbl>
    <w:p>
      <w:pPr>
        <w:spacing w:after="120" w:line="288" w:lineRule="auto"/>
      </w:pPr>
    </w:p>
    <w:p>
      <w:r>
        <w:br w:type="page"/>
      </w:r>
    </w:p>
    <w:p>
      <w:pPr>
        <w:pStyle w:val="KPAbschnitt"/>
        <w:spacing w:line="288" w:lineRule="auto"/>
      </w:pPr>
      <w:r>
        <w:rPr>
          <w:rFonts w:ascii="Calibri" w:hAnsi="Calibri"/>
          <w:b/>
          <w:color w:val="0F3D2A"/>
          <w:sz w:val="24"/>
        </w:rPr>
        <w:t xml:space="preserve">Woran du ein tragfähiges Formular erkennst</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1400"/>
        <w:gridCol w:w="3700"/>
        <w:gridCol w:w="3926"/>
      </w:tblGrid>
      <w:tr>
        <w:trPr>
          <w:tblHeader w:val="true"/>
          <w:cantSplit/>
        </w:trPr>
        <w:tc>
          <w:tcPr>
            <w:tcW w:w="14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Feld</w:t>
            </w:r>
          </w:p>
        </w:tc>
        <w:tc>
          <w:tcPr>
            <w:tcW w:w="37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Tragfähig</w:t>
            </w:r>
          </w:p>
        </w:tc>
        <w:tc>
          <w:tcPr>
            <w:tcW w:w="39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Zu dünn – Auflage mitgeben</w:t>
            </w:r>
          </w:p>
        </w:tc>
      </w:tr>
      <w:tr>
        <w:trPr>
          <w:cantSplit/>
        </w:trPr>
        <w:tc>
          <w:tcPr>
            <w:tcW w:w="1400" w:type="dxa"/>
            <w:tcMar>
              <w:top w:w="60" w:type="dxa"/>
              <w:left w:w="90" w:type="dxa"/>
              <w:bottom w:w="60" w:type="dxa"/>
              <w:right w:w="90" w:type="dxa"/>
            </w:tcMar>
          </w:tcPr>
          <w:p>
            <w:pPr>
              <w:spacing w:after="0" w:line="264" w:lineRule="auto"/>
            </w:pPr>
            <w:r>
              <w:rPr>
                <w:rFonts w:ascii="Cambria" w:hAnsi="Cambria"/>
                <w:b/>
                <w:color w:val="1C1C1C"/>
                <w:sz w:val="18"/>
              </w:rPr>
              <w:t xml:space="preserve">2  Thema</w:t>
            </w:r>
          </w:p>
        </w:tc>
        <w:tc>
          <w:tcPr>
            <w:tcW w:w="3700" w:type="dxa"/>
            <w:tcMar>
              <w:top w:w="60" w:type="dxa"/>
              <w:left w:w="90" w:type="dxa"/>
              <w:bottom w:w="60" w:type="dxa"/>
              <w:right w:w="90" w:type="dxa"/>
            </w:tcMar>
          </w:tcPr>
          <w:p>
            <w:pPr>
              <w:spacing w:after="0" w:line="264" w:lineRule="auto"/>
            </w:pPr>
            <w:r>
              <w:rPr>
                <w:rFonts w:ascii="Cambria" w:hAnsi="Cambria"/>
                <w:color w:val="1C1C1C"/>
                <w:sz w:val="18"/>
              </w:rPr>
              <w:t xml:space="preserve">Der Titel enthält schon die Frage oder zeigt, wohin der Impuls geführt hat.</w:t>
            </w:r>
          </w:p>
        </w:tc>
        <w:tc>
          <w:tcPr>
            <w:tcW w:w="3926" w:type="dxa"/>
            <w:tcMar>
              <w:top w:w="60" w:type="dxa"/>
              <w:left w:w="90" w:type="dxa"/>
              <w:bottom w:w="60" w:type="dxa"/>
              <w:right w:w="90" w:type="dxa"/>
            </w:tcMar>
          </w:tcPr>
          <w:p>
            <w:pPr>
              <w:spacing w:after="0" w:line="264" w:lineRule="auto"/>
            </w:pPr>
            <w:r>
              <w:rPr>
                <w:rFonts w:ascii="Cambria" w:hAnsi="Cambria"/>
                <w:color w:val="1C1C1C"/>
                <w:sz w:val="18"/>
              </w:rPr>
              <w:t xml:space="preserve">Nur das Impulswort: „Kaffee“, „Musik“, „Sport“. Das IB rät davon ausdrücklich ab.</w:t>
            </w:r>
          </w:p>
        </w:tc>
      </w:tr>
      <w:tr>
        <w:trPr>
          <w:cantSplit/>
        </w:trPr>
        <w:tc>
          <w:tcPr>
            <w:tcW w:w="1400" w:type="dxa"/>
            <w:shd w:val="clear" w:color="auto" w:fill="F1F4EC"/>
            <w:tcMar>
              <w:top w:w="60" w:type="dxa"/>
              <w:left w:w="90" w:type="dxa"/>
              <w:bottom w:w="60" w:type="dxa"/>
              <w:right w:w="90" w:type="dxa"/>
            </w:tcMar>
          </w:tcPr>
          <w:p>
            <w:pPr>
              <w:spacing w:after="0" w:line="264" w:lineRule="auto"/>
            </w:pPr>
            <w:r>
              <w:rPr>
                <w:rFonts w:ascii="Cambria" w:hAnsi="Cambria"/>
                <w:b/>
                <w:color w:val="1C1C1C"/>
                <w:sz w:val="18"/>
              </w:rPr>
              <w:t xml:space="preserve">3  Grund</w:t>
            </w:r>
          </w:p>
        </w:tc>
        <w:tc>
          <w:tcPr>
            <w:tcW w:w="3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Es steht eine Vermutung darin. Wer vermutet, kann später prüfen – das ist die Spur für Kriterium C und D.</w:t>
            </w:r>
          </w:p>
        </w:tc>
        <w:tc>
          <w:tcPr>
            <w:tcW w:w="39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„Ich finde das Thema interessant.“ Ohne Vermutung fehlt der Ansatzpunkt für persönlichen Einsatz.</w:t>
            </w:r>
          </w:p>
        </w:tc>
      </w:tr>
      <w:tr>
        <w:trPr>
          <w:cantSplit/>
        </w:trPr>
        <w:tc>
          <w:tcPr>
            <w:tcW w:w="1400" w:type="dxa"/>
            <w:tcMar>
              <w:top w:w="60" w:type="dxa"/>
              <w:left w:w="90" w:type="dxa"/>
              <w:bottom w:w="60" w:type="dxa"/>
              <w:right w:w="90" w:type="dxa"/>
            </w:tcMar>
          </w:tcPr>
          <w:p>
            <w:pPr>
              <w:spacing w:after="0" w:line="264" w:lineRule="auto"/>
            </w:pPr>
            <w:r>
              <w:rPr>
                <w:rFonts w:ascii="Cambria" w:hAnsi="Cambria"/>
                <w:b/>
                <w:color w:val="1C1C1C"/>
                <w:sz w:val="18"/>
              </w:rPr>
              <w:t xml:space="preserve">4  Aufgabe</w:t>
            </w:r>
          </w:p>
        </w:tc>
        <w:tc>
          <w:tcPr>
            <w:tcW w:w="3700" w:type="dxa"/>
            <w:tcMar>
              <w:top w:w="60" w:type="dxa"/>
              <w:left w:w="90" w:type="dxa"/>
              <w:bottom w:w="60" w:type="dxa"/>
              <w:right w:w="90" w:type="dxa"/>
            </w:tcMar>
          </w:tcPr>
          <w:p>
            <w:pPr>
              <w:spacing w:after="0" w:line="264" w:lineRule="auto"/>
            </w:pPr>
            <w:r>
              <w:rPr>
                <w:rFonts w:ascii="Cambria" w:hAnsi="Cambria"/>
                <w:color w:val="1C1C1C"/>
                <w:sz w:val="18"/>
              </w:rPr>
              <w:t xml:space="preserve">Mindestens zwei Blocknummern, und eine davon liegt nicht in den notwendigen Vorkenntnissen.</w:t>
            </w:r>
          </w:p>
        </w:tc>
        <w:tc>
          <w:tcPr>
            <w:tcW w:w="3926" w:type="dxa"/>
            <w:tcMar>
              <w:top w:w="60" w:type="dxa"/>
              <w:left w:w="90" w:type="dxa"/>
              <w:bottom w:w="60" w:type="dxa"/>
              <w:right w:w="90" w:type="dxa"/>
            </w:tcMar>
          </w:tcPr>
          <w:p>
            <w:pPr>
              <w:spacing w:after="0" w:line="264" w:lineRule="auto"/>
            </w:pPr>
            <w:r>
              <w:rPr>
                <w:rFonts w:ascii="Cambria" w:hAnsi="Cambria"/>
                <w:color w:val="1C1C1C"/>
                <w:sz w:val="18"/>
              </w:rPr>
              <w:t xml:space="preserve">„Ich benutze Statistik.“ Oder nur Verfahren, die unter dem Kursniveau liegen.</w:t>
            </w:r>
          </w:p>
        </w:tc>
      </w:tr>
      <w:tr>
        <w:trPr>
          <w:cantSplit/>
        </w:trPr>
        <w:tc>
          <w:tcPr>
            <w:tcW w:w="1400" w:type="dxa"/>
            <w:shd w:val="clear" w:color="auto" w:fill="F1F4EC"/>
            <w:tcMar>
              <w:top w:w="60" w:type="dxa"/>
              <w:left w:w="90" w:type="dxa"/>
              <w:bottom w:w="60" w:type="dxa"/>
              <w:right w:w="90" w:type="dxa"/>
            </w:tcMar>
          </w:tcPr>
          <w:p>
            <w:pPr>
              <w:spacing w:after="0" w:line="264" w:lineRule="auto"/>
            </w:pPr>
            <w:r>
              <w:rPr>
                <w:rFonts w:ascii="Cambria" w:hAnsi="Cambria"/>
                <w:b/>
                <w:color w:val="1C1C1C"/>
                <w:sz w:val="18"/>
              </w:rPr>
              <w:t xml:space="preserve">5  Planung</w:t>
            </w:r>
          </w:p>
        </w:tc>
        <w:tc>
          <w:tcPr>
            <w:tcW w:w="3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Termine, die zu den Meilensteinen auf M 14 passen, und die Datenerhebung steht am Anfang.</w:t>
            </w:r>
          </w:p>
        </w:tc>
        <w:tc>
          <w:tcPr>
            <w:tcW w:w="39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Keine Reihenfolge, oder die Datenerhebung kommt zuletzt. Das ist der häufigste Grund, warum eine Arbeit im Februar stillsteht.</w:t>
            </w:r>
          </w:p>
        </w:tc>
      </w:tr>
      <w:tr>
        <w:trPr>
          <w:cantSplit/>
        </w:trPr>
        <w:tc>
          <w:tcPr>
            <w:tcW w:w="1400" w:type="dxa"/>
            <w:tcMar>
              <w:top w:w="60" w:type="dxa"/>
              <w:left w:w="90" w:type="dxa"/>
              <w:bottom w:w="60" w:type="dxa"/>
              <w:right w:w="90" w:type="dxa"/>
            </w:tcMar>
          </w:tcPr>
          <w:p>
            <w:pPr>
              <w:spacing w:after="0" w:line="264" w:lineRule="auto"/>
            </w:pPr>
            <w:r>
              <w:rPr>
                <w:rFonts w:ascii="Cambria" w:hAnsi="Cambria"/>
                <w:b/>
                <w:color w:val="1C1C1C"/>
                <w:sz w:val="18"/>
              </w:rPr>
              <w:t xml:space="preserve">6  Daten</w:t>
            </w:r>
          </w:p>
        </w:tc>
        <w:tc>
          <w:tcPr>
            <w:tcW w:w="3700" w:type="dxa"/>
            <w:tcMar>
              <w:top w:w="60" w:type="dxa"/>
              <w:left w:w="90" w:type="dxa"/>
              <w:bottom w:w="60" w:type="dxa"/>
              <w:right w:w="90" w:type="dxa"/>
            </w:tcMar>
          </w:tcPr>
          <w:p>
            <w:pPr>
              <w:spacing w:after="0" w:line="264" w:lineRule="auto"/>
            </w:pPr>
            <w:r>
              <w:rPr>
                <w:rFonts w:ascii="Cambria" w:hAnsi="Cambria"/>
                <w:color w:val="1C1C1C"/>
                <w:sz w:val="18"/>
              </w:rPr>
              <w:t xml:space="preserve">Es steht da, wie viele Werte erhoben werden und womit. Bei fremden Daten: woher und wie sie entstanden sind.</w:t>
            </w:r>
          </w:p>
        </w:tc>
        <w:tc>
          <w:tcPr>
            <w:tcW w:w="3926" w:type="dxa"/>
            <w:tcMar>
              <w:top w:w="60" w:type="dxa"/>
              <w:left w:w="90" w:type="dxa"/>
              <w:bottom w:w="60" w:type="dxa"/>
              <w:right w:w="90" w:type="dxa"/>
            </w:tcMar>
          </w:tcPr>
          <w:p>
            <w:pPr>
              <w:spacing w:after="0" w:line="264" w:lineRule="auto"/>
            </w:pPr>
            <w:r>
              <w:rPr>
                <w:rFonts w:ascii="Cambria" w:hAnsi="Cambria"/>
                <w:color w:val="1C1C1C"/>
                <w:sz w:val="18"/>
              </w:rPr>
              <w:t xml:space="preserve">„Ich suche mir Daten im Internet.“ Ohne Angabe zur Auswahl der Daten ist die Arbeit später in Kriterium E angreifbar.</w:t>
            </w:r>
          </w:p>
        </w:tc>
      </w:tr>
    </w:tbl>
    <w:p>
      <w:pPr>
        <w:spacing w:after="120" w:line="288" w:lineRule="auto"/>
      </w:pP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Abzeichnen oder Auflage</w:t>
            </w:r>
          </w:p>
          <w:p>
            <w:pPr>
              <w:spacing w:after="60" w:line="288" w:lineRule="auto"/>
            </w:pPr>
            <w:r>
              <w:rPr>
                <w:rFonts w:ascii="Cambria" w:hAnsi="Cambria"/>
                <w:color w:val="1C1C1C"/>
                <w:sz w:val="20"/>
              </w:rPr>
              <w:t xml:space="preserve">Abgezeichnet wird, wenn Feld 2, 4 und 6 tragfähig sind. Die Felder 3 und 5 lassen sich nachbessern, ohne dass die Arbeit stillsteht.</w:t>
            </w:r>
          </w:p>
          <w:p>
            <w:pPr>
              <w:spacing w:after="60" w:line="288" w:lineRule="auto"/>
            </w:pPr>
            <w:r>
              <w:rPr>
                <w:rFonts w:ascii="Cambria" w:hAnsi="Cambria"/>
                <w:color w:val="1C1C1C"/>
                <w:sz w:val="20"/>
              </w:rPr>
              <w:t xml:space="preserve">Eine Auflage ist immer ein Satz mit einem Termin: „Bis Freitag zwei Blocknummern in Feld 4 ergänzen.“ Nicht: „Noch etwas genauer.“</w:t>
            </w:r>
          </w:p>
        </w:tc>
      </w:tr>
    </w:tbl>
    <w:p>
      <w:pPr>
        <w:spacing w:after="120" w:line="288" w:lineRule="auto"/>
      </w:pPr>
    </w:p>
    <w:p>
      <w:r>
        <w:br w:type="page"/>
      </w:r>
    </w:p>
    <w:p>
      <w:pPr>
        <w:pStyle w:val="KPTeil"/>
        <w:spacing w:line="288" w:lineRule="auto"/>
      </w:pPr>
      <w:r>
        <w:rPr>
          <w:rFonts w:ascii="Calibri" w:hAnsi="Calibri"/>
          <w:b/>
          <w:color w:val="8FB840"/>
          <w:sz w:val="44"/>
        </w:rPr>
        <w:t xml:space="preserve">Teil C   </w:t>
      </w:r>
      <w:r>
        <w:rPr>
          <w:rFonts w:ascii="Calibri" w:hAnsi="Calibri"/>
          <w:b/>
          <w:color w:val="0F3D2A"/>
          <w:sz w:val="44"/>
        </w:rPr>
        <w:t xml:space="preserve">Rückmeldung zur Entwurfsfassung</w:t>
      </w:r>
    </w:p>
    <w:p>
      <w:pPr>
        <w:pStyle w:val="KPFließtext"/>
        <w:spacing w:line="288" w:lineRule="auto"/>
      </w:pPr>
      <w:r>
        <w:rPr>
          <w:rFonts w:ascii="Cambria" w:hAnsi="Cambria"/>
          <w:color w:val="1C1C1C"/>
          <w:sz w:val="22"/>
        </w:rPr>
        <w:t xml:space="preserve">Die Lehrerhandreichungen schlagen dafür Formular B vor. Es ist kein offizielles IB-Formular und darf angepasst werden. Der folgende Bogen ist die an unseren Kurs angepasste Fassung.</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8E7E7"/>
            <w:tcBorders>
              <w:left w:val="single" w:sz="26" w:space="0" w:color="C0272D"/>
            </w:tcBorders>
            <w:tcMar>
              <w:top w:w="150" w:type="dxa"/>
              <w:left w:w="220" w:type="dxa"/>
              <w:bottom w:w="150" w:type="dxa"/>
              <w:right w:w="200" w:type="dxa"/>
            </w:tcMar>
          </w:tcPr>
          <w:p>
            <w:pPr>
              <w:spacing w:after="80" w:line="288" w:lineRule="auto"/>
            </w:pPr>
            <w:r>
              <w:rPr>
                <w:rFonts w:ascii="Calibri" w:hAnsi="Calibri"/>
                <w:b/>
                <w:color w:val="C0272D"/>
                <w:sz w:val="22"/>
              </w:rPr>
              <w:t xml:space="preserve">Die Regel, die auf dem Bogen steht</w:t>
            </w:r>
          </w:p>
          <w:p>
            <w:pPr>
              <w:spacing w:after="60" w:line="288" w:lineRule="auto"/>
            </w:pPr>
            <w:r>
              <w:rPr>
                <w:rFonts w:ascii="Cambria" w:hAnsi="Cambria"/>
                <w:color w:val="1C1C1C"/>
                <w:sz w:val="20"/>
              </w:rPr>
              <w:t xml:space="preserve">Dies ist die eine schriftliche Rückmeldung, die das Handbuch vorsieht. Die nächste Fassung, die abgegeben wird, ist die endgültige. Ratschläge dürfen sagen, wie die Arbeit verbessert werden könnte; der Entwurf darf nicht redigiert und nicht übermäßig mit Anmerkungen versehen werden, und Fehler werden benannt, nicht korrigiert.</w:t>
            </w:r>
          </w:p>
        </w:tc>
      </w:tr>
    </w:tbl>
    <w:p>
      <w:pPr>
        <w:spacing w:after="120" w:line="288" w:lineRule="auto"/>
      </w:pPr>
    </w:p>
    <w:p>
      <w:r>
        <w:br w:type="page"/>
      </w:r>
    </w:p>
    <w:p>
      <w:pPr>
        <w:pStyle w:val="KPKapitel"/>
        <w:spacing w:line="288" w:lineRule="auto"/>
      </w:pPr>
      <w:r>
        <w:rPr>
          <w:rFonts w:ascii="Calibri" w:hAnsi="Calibri"/>
          <w:b/>
          <w:color w:val="0F3D2A"/>
          <w:sz w:val="32"/>
        </w:rPr>
        <w:t xml:space="preserve">Formular B – Erkundungsarbeit: Rückmeldung zur Entwurfsfassung</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800"/>
        <w:gridCol w:w="2400"/>
        <w:gridCol w:w="700"/>
        <w:gridCol w:w="1300"/>
        <w:gridCol w:w="1900"/>
        <w:gridCol w:w="1926"/>
      </w:tblGrid>
      <w:tr>
        <w:trPr>
          <w:cantSplit/>
        </w:trPr>
        <w:tc>
          <w:tcPr>
            <w:tcW w:w="800" w:type="dxa"/>
            <w:tcMar>
              <w:top w:w="60" w:type="dxa"/>
              <w:left w:w="90" w:type="dxa"/>
              <w:bottom w:w="60" w:type="dxa"/>
              <w:right w:w="90" w:type="dxa"/>
            </w:tcMar>
          </w:tcPr>
          <w:p>
            <w:pPr>
              <w:spacing w:after="0" w:line="264" w:lineRule="auto"/>
            </w:pPr>
            <w:r>
              <w:rPr>
                <w:rFonts w:ascii="Cambria" w:hAnsi="Cambria"/>
                <w:color w:val="1C1C1C"/>
                <w:sz w:val="20"/>
              </w:rPr>
              <w:t xml:space="preserve">Name</w:t>
            </w:r>
          </w:p>
        </w:tc>
        <w:tc>
          <w:tcPr>
            <w:tcW w:w="2400" w:type="dxa"/>
            <w:tcMar>
              <w:top w:w="60" w:type="dxa"/>
              <w:left w:w="90" w:type="dxa"/>
              <w:bottom w:w="60" w:type="dxa"/>
              <w:right w:w="90" w:type="dxa"/>
            </w:tcMar>
          </w:tcPr>
          <w:p>
            <w:pPr>
              <w:spacing w:after="0" w:line="264" w:lineRule="auto"/>
            </w:pPr>
          </w:p>
        </w:tc>
        <w:tc>
          <w:tcPr>
            <w:tcW w:w="700" w:type="dxa"/>
            <w:tcMar>
              <w:top w:w="60" w:type="dxa"/>
              <w:left w:w="90" w:type="dxa"/>
              <w:bottom w:w="60" w:type="dxa"/>
              <w:right w:w="90" w:type="dxa"/>
            </w:tcMar>
          </w:tcPr>
          <w:p>
            <w:pPr>
              <w:spacing w:after="0" w:line="264" w:lineRule="auto"/>
            </w:pPr>
            <w:r>
              <w:rPr>
                <w:rFonts w:ascii="Cambria" w:hAnsi="Cambria"/>
                <w:color w:val="1C1C1C"/>
                <w:sz w:val="20"/>
              </w:rPr>
              <w:t xml:space="preserve">Kurs</w:t>
            </w:r>
          </w:p>
        </w:tc>
        <w:tc>
          <w:tcPr>
            <w:tcW w:w="1300" w:type="dxa"/>
            <w:tcMar>
              <w:top w:w="60" w:type="dxa"/>
              <w:left w:w="90" w:type="dxa"/>
              <w:bottom w:w="60" w:type="dxa"/>
              <w:right w:w="90" w:type="dxa"/>
            </w:tcMar>
          </w:tcPr>
          <w:p>
            <w:pPr>
              <w:spacing w:after="0" w:line="264" w:lineRule="auto"/>
            </w:pPr>
          </w:p>
        </w:tc>
        <w:tc>
          <w:tcPr>
            <w:tcW w:w="1900" w:type="dxa"/>
            <w:tcMar>
              <w:top w:w="60" w:type="dxa"/>
              <w:left w:w="90" w:type="dxa"/>
              <w:bottom w:w="60" w:type="dxa"/>
              <w:right w:w="90" w:type="dxa"/>
            </w:tcMar>
          </w:tcPr>
          <w:p>
            <w:pPr>
              <w:spacing w:after="0" w:line="264" w:lineRule="auto"/>
            </w:pPr>
            <w:r>
              <w:rPr>
                <w:rFonts w:ascii="Cambria" w:hAnsi="Cambria"/>
                <w:color w:val="1C1C1C"/>
                <w:sz w:val="20"/>
              </w:rPr>
              <w:t xml:space="preserve">Entwurf erhalten am</w:t>
            </w:r>
          </w:p>
        </w:tc>
        <w:tc>
          <w:tcPr>
            <w:tcW w:w="1926" w:type="dxa"/>
            <w:tcMar>
              <w:top w:w="60" w:type="dxa"/>
              <w:left w:w="90" w:type="dxa"/>
              <w:bottom w:w="60" w:type="dxa"/>
              <w:right w:w="90" w:type="dxa"/>
            </w:tcMar>
          </w:tcPr>
          <w:p>
            <w:pPr>
              <w:spacing w:after="0" w:line="264" w:lineRule="auto"/>
            </w:pPr>
          </w:p>
        </w:tc>
      </w:tr>
    </w:tbl>
    <w:p>
      <w:pPr>
        <w:spacing w:after="120" w:line="288" w:lineRule="auto"/>
      </w:pP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2000"/>
        <w:gridCol w:w="7026"/>
      </w:tblGrid>
      <w:tr>
        <w:trPr>
          <w:cantSplit/>
        </w:trPr>
        <w:tc>
          <w:tcPr>
            <w:tcW w:w="2000" w:type="dxa"/>
            <w:tcMar>
              <w:top w:w="60" w:type="dxa"/>
              <w:left w:w="90" w:type="dxa"/>
              <w:bottom w:w="60" w:type="dxa"/>
              <w:right w:w="90" w:type="dxa"/>
            </w:tcMar>
          </w:tcPr>
          <w:p>
            <w:pPr>
              <w:spacing w:after="0" w:line="264" w:lineRule="auto"/>
            </w:pPr>
            <w:r>
              <w:rPr>
                <w:rFonts w:ascii="Cambria" w:hAnsi="Cambria"/>
                <w:color w:val="1C1C1C"/>
                <w:sz w:val="20"/>
              </w:rPr>
              <w:t xml:space="preserve">Titel der Arbeit</w:t>
            </w:r>
          </w:p>
        </w:tc>
        <w:tc>
          <w:tcPr>
            <w:tcW w:w="7026" w:type="dxa"/>
            <w:tcMar>
              <w:top w:w="60" w:type="dxa"/>
              <w:left w:w="90" w:type="dxa"/>
              <w:bottom w:w="60" w:type="dxa"/>
              <w:right w:w="90" w:type="dxa"/>
            </w:tcMar>
          </w:tcPr>
          <w:p>
            <w:pPr>
              <w:spacing w:after="0" w:line="264" w:lineRule="auto"/>
            </w:pPr>
          </w:p>
        </w:tc>
      </w:tr>
    </w:tbl>
    <w:p>
      <w:pPr>
        <w:spacing w:after="120" w:line="288" w:lineRule="auto"/>
      </w:pPr>
    </w:p>
    <w:p>
      <w:pPr>
        <w:spacing w:after="120" w:line="288" w:lineRule="auto"/>
      </w:pP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2600"/>
        <w:gridCol w:w="1200"/>
        <w:gridCol w:w="5226"/>
      </w:tblGrid>
      <w:tr>
        <w:trPr>
          <w:tblHeader w:val="true"/>
          <w:cantSplit/>
        </w:trPr>
        <w:tc>
          <w:tcPr>
            <w:tcW w:w="26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Kriterium</w:t>
            </w:r>
          </w:p>
        </w:tc>
        <w:tc>
          <w:tcPr>
            <w:tcW w:w="12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Stand jetzt</w:t>
            </w:r>
          </w:p>
        </w:tc>
        <w:tc>
          <w:tcPr>
            <w:tcW w:w="52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Was die Arbeit auf die nächste Ebene bringt</w:t>
            </w:r>
          </w:p>
        </w:tc>
      </w:tr>
      <w:tr>
        <w:trPr>
          <w:cantSplit/>
        </w:trPr>
        <w:tc>
          <w:tcPr>
            <w:tcW w:w="2600" w:type="dxa"/>
            <w:tcMar>
              <w:top w:w="60" w:type="dxa"/>
              <w:left w:w="90" w:type="dxa"/>
              <w:bottom w:w="60" w:type="dxa"/>
              <w:right w:w="90" w:type="dxa"/>
            </w:tcMar>
          </w:tcPr>
          <w:p>
            <w:pPr>
              <w:spacing w:after="0" w:line="264" w:lineRule="auto"/>
            </w:pPr>
            <w:r>
              <w:rPr>
                <w:rFonts w:ascii="Cambria" w:hAnsi="Cambria"/>
                <w:b/>
                <w:color w:val="1C1C1C"/>
                <w:sz w:val="19"/>
              </w:rPr>
              <w:t xml:space="preserve">A  Präsentation  (0–4)</w:t>
            </w:r>
          </w:p>
        </w:tc>
        <w:tc>
          <w:tcPr>
            <w:tcW w:w="1200" w:type="dxa"/>
            <w:tcMar>
              <w:top w:w="60" w:type="dxa"/>
              <w:left w:w="90" w:type="dxa"/>
              <w:bottom w:w="60" w:type="dxa"/>
              <w:right w:w="90" w:type="dxa"/>
            </w:tcMar>
          </w:tcPr>
          <w:p>
            <w:pPr>
              <w:spacing w:after="0" w:line="264" w:lineRule="auto"/>
            </w:pPr>
          </w:p>
        </w:tc>
        <w:tc>
          <w:tcPr>
            <w:tcW w:w="5226" w:type="dxa"/>
            <w:tcMar>
              <w:top w:w="60" w:type="dxa"/>
              <w:left w:w="90" w:type="dxa"/>
              <w:bottom w:w="60" w:type="dxa"/>
              <w:right w:w="90" w:type="dxa"/>
            </w:tcMar>
          </w:tcPr>
          <w:p>
            <w:pPr>
              <w:spacing w:after="0" w:line="264" w:lineRule="auto"/>
            </w:pPr>
          </w:p>
        </w:tc>
      </w:tr>
      <w:tr>
        <w:trPr>
          <w:cantSplit/>
        </w:trPr>
        <w:tc>
          <w:tcPr>
            <w:tcW w:w="2600" w:type="dxa"/>
            <w:shd w:val="clear" w:color="auto" w:fill="F1F4EC"/>
            <w:tcMar>
              <w:top w:w="60" w:type="dxa"/>
              <w:left w:w="90" w:type="dxa"/>
              <w:bottom w:w="60" w:type="dxa"/>
              <w:right w:w="90" w:type="dxa"/>
            </w:tcMar>
          </w:tcPr>
          <w:p>
            <w:pPr>
              <w:spacing w:after="0" w:line="264" w:lineRule="auto"/>
            </w:pPr>
            <w:r>
              <w:rPr>
                <w:rFonts w:ascii="Cambria" w:hAnsi="Cambria"/>
                <w:b/>
                <w:color w:val="1C1C1C"/>
                <w:sz w:val="19"/>
              </w:rPr>
              <w:t xml:space="preserve">B  Mathematische Kommunikation  (0–4)</w:t>
            </w:r>
          </w:p>
        </w:tc>
        <w:tc>
          <w:tcPr>
            <w:tcW w:w="1200" w:type="dxa"/>
            <w:shd w:val="clear" w:color="auto" w:fill="F1F4EC"/>
            <w:tcMar>
              <w:top w:w="60" w:type="dxa"/>
              <w:left w:w="90" w:type="dxa"/>
              <w:bottom w:w="60" w:type="dxa"/>
              <w:right w:w="90" w:type="dxa"/>
            </w:tcMar>
          </w:tcPr>
          <w:p>
            <w:pPr>
              <w:spacing w:after="0" w:line="264" w:lineRule="auto"/>
            </w:pPr>
          </w:p>
        </w:tc>
        <w:tc>
          <w:tcPr>
            <w:tcW w:w="5226" w:type="dxa"/>
            <w:shd w:val="clear" w:color="auto" w:fill="F1F4EC"/>
            <w:tcMar>
              <w:top w:w="60" w:type="dxa"/>
              <w:left w:w="90" w:type="dxa"/>
              <w:bottom w:w="60" w:type="dxa"/>
              <w:right w:w="90" w:type="dxa"/>
            </w:tcMar>
          </w:tcPr>
          <w:p>
            <w:pPr>
              <w:spacing w:after="0" w:line="264" w:lineRule="auto"/>
            </w:pPr>
          </w:p>
        </w:tc>
      </w:tr>
      <w:tr>
        <w:trPr>
          <w:cantSplit/>
        </w:trPr>
        <w:tc>
          <w:tcPr>
            <w:tcW w:w="2600" w:type="dxa"/>
            <w:tcMar>
              <w:top w:w="60" w:type="dxa"/>
              <w:left w:w="90" w:type="dxa"/>
              <w:bottom w:w="60" w:type="dxa"/>
              <w:right w:w="90" w:type="dxa"/>
            </w:tcMar>
          </w:tcPr>
          <w:p>
            <w:pPr>
              <w:spacing w:after="0" w:line="264" w:lineRule="auto"/>
            </w:pPr>
            <w:r>
              <w:rPr>
                <w:rFonts w:ascii="Cambria" w:hAnsi="Cambria"/>
                <w:b/>
                <w:color w:val="1C1C1C"/>
                <w:sz w:val="19"/>
              </w:rPr>
              <w:t xml:space="preserve">C  Persönlicher Einsatz  (0–3)</w:t>
            </w:r>
          </w:p>
        </w:tc>
        <w:tc>
          <w:tcPr>
            <w:tcW w:w="1200" w:type="dxa"/>
            <w:tcMar>
              <w:top w:w="60" w:type="dxa"/>
              <w:left w:w="90" w:type="dxa"/>
              <w:bottom w:w="60" w:type="dxa"/>
              <w:right w:w="90" w:type="dxa"/>
            </w:tcMar>
          </w:tcPr>
          <w:p>
            <w:pPr>
              <w:spacing w:after="0" w:line="264" w:lineRule="auto"/>
            </w:pPr>
          </w:p>
        </w:tc>
        <w:tc>
          <w:tcPr>
            <w:tcW w:w="5226" w:type="dxa"/>
            <w:tcMar>
              <w:top w:w="60" w:type="dxa"/>
              <w:left w:w="90" w:type="dxa"/>
              <w:bottom w:w="60" w:type="dxa"/>
              <w:right w:w="90" w:type="dxa"/>
            </w:tcMar>
          </w:tcPr>
          <w:p>
            <w:pPr>
              <w:spacing w:after="0" w:line="264" w:lineRule="auto"/>
            </w:pPr>
          </w:p>
        </w:tc>
      </w:tr>
      <w:tr>
        <w:trPr>
          <w:cantSplit/>
        </w:trPr>
        <w:tc>
          <w:tcPr>
            <w:tcW w:w="2600" w:type="dxa"/>
            <w:shd w:val="clear" w:color="auto" w:fill="F1F4EC"/>
            <w:tcMar>
              <w:top w:w="60" w:type="dxa"/>
              <w:left w:w="90" w:type="dxa"/>
              <w:bottom w:w="60" w:type="dxa"/>
              <w:right w:w="90" w:type="dxa"/>
            </w:tcMar>
          </w:tcPr>
          <w:p>
            <w:pPr>
              <w:spacing w:after="0" w:line="264" w:lineRule="auto"/>
            </w:pPr>
            <w:r>
              <w:rPr>
                <w:rFonts w:ascii="Cambria" w:hAnsi="Cambria"/>
                <w:b/>
                <w:color w:val="1C1C1C"/>
                <w:sz w:val="19"/>
              </w:rPr>
              <w:t xml:space="preserve">D  Reflexion  (0–3)</w:t>
            </w:r>
          </w:p>
        </w:tc>
        <w:tc>
          <w:tcPr>
            <w:tcW w:w="1200" w:type="dxa"/>
            <w:shd w:val="clear" w:color="auto" w:fill="F1F4EC"/>
            <w:tcMar>
              <w:top w:w="60" w:type="dxa"/>
              <w:left w:w="90" w:type="dxa"/>
              <w:bottom w:w="60" w:type="dxa"/>
              <w:right w:w="90" w:type="dxa"/>
            </w:tcMar>
          </w:tcPr>
          <w:p>
            <w:pPr>
              <w:spacing w:after="0" w:line="264" w:lineRule="auto"/>
            </w:pPr>
          </w:p>
        </w:tc>
        <w:tc>
          <w:tcPr>
            <w:tcW w:w="5226" w:type="dxa"/>
            <w:shd w:val="clear" w:color="auto" w:fill="F1F4EC"/>
            <w:tcMar>
              <w:top w:w="60" w:type="dxa"/>
              <w:left w:w="90" w:type="dxa"/>
              <w:bottom w:w="60" w:type="dxa"/>
              <w:right w:w="90" w:type="dxa"/>
            </w:tcMar>
          </w:tcPr>
          <w:p>
            <w:pPr>
              <w:spacing w:after="0" w:line="264" w:lineRule="auto"/>
            </w:pPr>
          </w:p>
        </w:tc>
      </w:tr>
      <w:tr>
        <w:trPr>
          <w:cantSplit/>
        </w:trPr>
        <w:tc>
          <w:tcPr>
            <w:tcW w:w="2600" w:type="dxa"/>
            <w:tcMar>
              <w:top w:w="60" w:type="dxa"/>
              <w:left w:w="90" w:type="dxa"/>
              <w:bottom w:w="60" w:type="dxa"/>
              <w:right w:w="90" w:type="dxa"/>
            </w:tcMar>
          </w:tcPr>
          <w:p>
            <w:pPr>
              <w:spacing w:after="0" w:line="264" w:lineRule="auto"/>
            </w:pPr>
            <w:r>
              <w:rPr>
                <w:rFonts w:ascii="Cambria" w:hAnsi="Cambria"/>
                <w:b/>
                <w:color w:val="1C1C1C"/>
                <w:sz w:val="19"/>
              </w:rPr>
              <w:t xml:space="preserve">E  Nutzung der Mathematik  (0–6)</w:t>
            </w:r>
          </w:p>
        </w:tc>
        <w:tc>
          <w:tcPr>
            <w:tcW w:w="1200" w:type="dxa"/>
            <w:tcMar>
              <w:top w:w="60" w:type="dxa"/>
              <w:left w:w="90" w:type="dxa"/>
              <w:bottom w:w="60" w:type="dxa"/>
              <w:right w:w="90" w:type="dxa"/>
            </w:tcMar>
          </w:tcPr>
          <w:p>
            <w:pPr>
              <w:spacing w:after="0" w:line="264" w:lineRule="auto"/>
            </w:pPr>
          </w:p>
        </w:tc>
        <w:tc>
          <w:tcPr>
            <w:tcW w:w="5226" w:type="dxa"/>
            <w:tcMar>
              <w:top w:w="60" w:type="dxa"/>
              <w:left w:w="90" w:type="dxa"/>
              <w:bottom w:w="60" w:type="dxa"/>
              <w:right w:w="90" w:type="dxa"/>
            </w:tcMar>
          </w:tcPr>
          <w:p>
            <w:pPr>
              <w:spacing w:after="0" w:line="264" w:lineRule="auto"/>
            </w:pPr>
          </w:p>
        </w:tc>
      </w:tr>
    </w:tbl>
    <w:p>
      <w:pPr>
        <w:spacing w:after="120" w:line="288" w:lineRule="auto"/>
      </w:pPr>
    </w:p>
    <w:p>
      <w:pPr>
        <w:pStyle w:val="KPAbschnitt"/>
        <w:spacing w:line="288" w:lineRule="auto"/>
      </w:pPr>
      <w:r>
        <w:rPr>
          <w:rFonts w:ascii="Calibri" w:hAnsi="Calibri"/>
          <w:b/>
          <w:color w:val="0F3D2A"/>
          <w:sz w:val="24"/>
        </w:rPr>
        <w:t xml:space="preserve">Stellen, an denen die Mathematik nicht stimmt</w:t>
      </w:r>
    </w:p>
    <w:p>
      <w:pPr>
        <w:pStyle w:val="KPKlein"/>
        <w:spacing w:line="288" w:lineRule="auto"/>
      </w:pPr>
      <w:r>
        <w:rPr>
          <w:rFonts w:ascii="Calibri" w:hAnsi="Calibri"/>
          <w:color w:val="5E5E5E"/>
          <w:sz w:val="18"/>
        </w:rPr>
        <w:t xml:space="preserve">Benannt, nicht korrigiert – Seitenangabe genügt.</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9026"/>
      </w:tblGrid>
      <w:tr>
        <w:trPr>
          <w:cantSplit/>
        </w:trPr>
        <w:tc>
          <w:tcPr>
            <w:tcW w:w="9026" w:type="dxa"/>
            <w:tcMar>
              <w:top w:w="60" w:type="dxa"/>
              <w:left w:w="90" w:type="dxa"/>
              <w:bottom w:w="60" w:type="dxa"/>
              <w:right w:w="90" w:type="dxa"/>
            </w:tcMar>
          </w:tcPr>
          <w:p>
            <w:pPr>
              <w:spacing w:after="40" w:line="264" w:lineRule="auto"/>
            </w:pPr>
          </w:p>
          <w:p>
            <w:pPr>
              <w:spacing w:after="40" w:line="264" w:lineRule="auto"/>
            </w:pPr>
          </w:p>
          <w:p>
            <w:pPr>
              <w:spacing w:after="0" w:line="264" w:lineRule="auto"/>
            </w:pPr>
          </w:p>
        </w:tc>
      </w:tr>
    </w:tbl>
    <w:p>
      <w:pPr>
        <w:spacing w:after="120" w:line="288" w:lineRule="auto"/>
      </w:pPr>
    </w:p>
    <w:p>
      <w:pPr>
        <w:pStyle w:val="KPAbschnitt"/>
        <w:spacing w:line="288" w:lineRule="auto"/>
      </w:pPr>
      <w:r>
        <w:rPr>
          <w:rFonts w:ascii="Calibri" w:hAnsi="Calibri"/>
          <w:b/>
          <w:color w:val="0F3D2A"/>
          <w:sz w:val="24"/>
        </w:rPr>
        <w:t xml:space="preserve">Form und Redlichkeit</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600"/>
        <w:gridCol w:w="8426"/>
      </w:tblGrid>
      <w:tr>
        <w:trPr>
          <w:tblHeader w:val="true"/>
          <w:cantSplit/>
        </w:trPr>
        <w:tc>
          <w:tcPr>
            <w:tcW w:w="600" w:type="dxa"/>
            <w:shd w:val="clear" w:color="auto" w:fill="0F3D2A"/>
            <w:tcMar>
              <w:top w:w="60" w:type="dxa"/>
              <w:left w:w="90" w:type="dxa"/>
              <w:bottom w:w="60" w:type="dxa"/>
              <w:right w:w="90" w:type="dxa"/>
            </w:tcMar>
          </w:tcPr>
          <w:p>
            <w:pPr>
              <w:spacing w:after="0" w:line="252" w:lineRule="auto"/>
            </w:pPr>
          </w:p>
        </w:tc>
        <w:tc>
          <w:tcPr>
            <w:tcW w:w="84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Geprüft</w:t>
            </w:r>
          </w:p>
        </w:tc>
      </w:tr>
      <w:tr>
        <w:trPr>
          <w:cantSplit/>
        </w:trPr>
        <w:tc>
          <w:tcPr>
            <w:tcW w:w="600" w:type="dxa"/>
            <w:tcMar>
              <w:top w:w="60" w:type="dxa"/>
              <w:left w:w="90" w:type="dxa"/>
              <w:bottom w:w="60" w:type="dxa"/>
              <w:right w:w="90" w:type="dxa"/>
            </w:tcMar>
          </w:tcPr>
          <w:p>
            <w:pPr>
              <w:spacing w:after="0" w:line="264" w:lineRule="auto"/>
            </w:pPr>
            <w:r>
              <w:rPr>
                <w:rFonts w:ascii="Cambria" w:hAnsi="Cambria"/>
                <w:color w:val="1C1C1C"/>
                <w:sz w:val="19"/>
              </w:rPr>
              <w:t xml:space="preserve">□</w:t>
            </w:r>
          </w:p>
        </w:tc>
        <w:tc>
          <w:tcPr>
            <w:tcW w:w="8426" w:type="dxa"/>
            <w:tcMar>
              <w:top w:w="60" w:type="dxa"/>
              <w:left w:w="90" w:type="dxa"/>
              <w:bottom w:w="60" w:type="dxa"/>
              <w:right w:w="90" w:type="dxa"/>
            </w:tcMar>
          </w:tcPr>
          <w:p>
            <w:pPr>
              <w:spacing w:after="0" w:line="264" w:lineRule="auto"/>
            </w:pPr>
            <w:r>
              <w:rPr>
                <w:rFonts w:ascii="Cambria" w:hAnsi="Cambria"/>
                <w:color w:val="1C1C1C"/>
                <w:sz w:val="19"/>
              </w:rPr>
              <w:t xml:space="preserve">Deckblatt mit Titel und Anzahl der Seiten</w:t>
            </w:r>
          </w:p>
        </w:tc>
      </w:tr>
      <w:tr>
        <w:trPr>
          <w:cantSplit/>
        </w:trPr>
        <w:tc>
          <w:tcPr>
            <w:tcW w:w="6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w:t>
            </w:r>
          </w:p>
        </w:tc>
        <w:tc>
          <w:tcPr>
            <w:tcW w:w="8426"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Doppelter Zeilenabstand, Umfang im Rahmen</w:t>
            </w:r>
          </w:p>
        </w:tc>
      </w:tr>
      <w:tr>
        <w:trPr>
          <w:cantSplit/>
        </w:trPr>
        <w:tc>
          <w:tcPr>
            <w:tcW w:w="600" w:type="dxa"/>
            <w:tcMar>
              <w:top w:w="60" w:type="dxa"/>
              <w:left w:w="90" w:type="dxa"/>
              <w:bottom w:w="60" w:type="dxa"/>
              <w:right w:w="90" w:type="dxa"/>
            </w:tcMar>
          </w:tcPr>
          <w:p>
            <w:pPr>
              <w:spacing w:after="0" w:line="264" w:lineRule="auto"/>
            </w:pPr>
            <w:r>
              <w:rPr>
                <w:rFonts w:ascii="Cambria" w:hAnsi="Cambria"/>
                <w:color w:val="1C1C1C"/>
                <w:sz w:val="19"/>
              </w:rPr>
              <w:t xml:space="preserve">□</w:t>
            </w:r>
          </w:p>
        </w:tc>
        <w:tc>
          <w:tcPr>
            <w:tcW w:w="8426" w:type="dxa"/>
            <w:tcMar>
              <w:top w:w="60" w:type="dxa"/>
              <w:left w:w="90" w:type="dxa"/>
              <w:bottom w:w="60" w:type="dxa"/>
              <w:right w:w="90" w:type="dxa"/>
            </w:tcMar>
          </w:tcPr>
          <w:p>
            <w:pPr>
              <w:spacing w:after="0" w:line="264" w:lineRule="auto"/>
            </w:pPr>
            <w:r>
              <w:rPr>
                <w:rFonts w:ascii="Cambria" w:hAnsi="Cambria"/>
                <w:color w:val="1C1C1C"/>
                <w:sz w:val="19"/>
              </w:rPr>
              <w:t xml:space="preserve">Relevante Abbildungen im Text, Anhang nur für Zusatzmaterial</w:t>
            </w:r>
          </w:p>
        </w:tc>
      </w:tr>
      <w:tr>
        <w:trPr>
          <w:cantSplit/>
        </w:trPr>
        <w:tc>
          <w:tcPr>
            <w:tcW w:w="6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w:t>
            </w:r>
          </w:p>
        </w:tc>
        <w:tc>
          <w:tcPr>
            <w:tcW w:w="8426"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Quellenverzeichnis vollständig, eine Zitierweise durchgehalten</w:t>
            </w:r>
          </w:p>
        </w:tc>
      </w:tr>
      <w:tr>
        <w:trPr>
          <w:cantSplit/>
        </w:trPr>
        <w:tc>
          <w:tcPr>
            <w:tcW w:w="600" w:type="dxa"/>
            <w:tcMar>
              <w:top w:w="60" w:type="dxa"/>
              <w:left w:w="90" w:type="dxa"/>
              <w:bottom w:w="60" w:type="dxa"/>
              <w:right w:w="90" w:type="dxa"/>
            </w:tcMar>
          </w:tcPr>
          <w:p>
            <w:pPr>
              <w:spacing w:after="0" w:line="264" w:lineRule="auto"/>
            </w:pPr>
            <w:r>
              <w:rPr>
                <w:rFonts w:ascii="Cambria" w:hAnsi="Cambria"/>
                <w:color w:val="1C1C1C"/>
                <w:sz w:val="19"/>
              </w:rPr>
              <w:t xml:space="preserve">□</w:t>
            </w:r>
          </w:p>
        </w:tc>
        <w:tc>
          <w:tcPr>
            <w:tcW w:w="8426" w:type="dxa"/>
            <w:tcMar>
              <w:top w:w="60" w:type="dxa"/>
              <w:left w:w="90" w:type="dxa"/>
              <w:bottom w:w="60" w:type="dxa"/>
              <w:right w:w="90" w:type="dxa"/>
            </w:tcMar>
          </w:tcPr>
          <w:p>
            <w:pPr>
              <w:spacing w:after="0" w:line="264" w:lineRule="auto"/>
            </w:pPr>
            <w:r>
              <w:rPr>
                <w:rFonts w:ascii="Cambria" w:hAnsi="Cambria"/>
                <w:color w:val="1C1C1C"/>
                <w:sz w:val="19"/>
              </w:rPr>
              <w:t xml:space="preserve">Bilder, Daten und Formeln aus fremden Quellen belegt</w:t>
            </w:r>
          </w:p>
        </w:tc>
      </w:tr>
      <w:tr>
        <w:trPr>
          <w:cantSplit/>
        </w:trPr>
        <w:tc>
          <w:tcPr>
            <w:tcW w:w="6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w:t>
            </w:r>
          </w:p>
        </w:tc>
        <w:tc>
          <w:tcPr>
            <w:tcW w:w="8426"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Nutzung von KI-Werkzeugen angegeben, sofern über Sprachkorrektur hinausgehend</w:t>
            </w:r>
          </w:p>
        </w:tc>
      </w:tr>
      <w:tr>
        <w:trPr>
          <w:cantSplit/>
        </w:trPr>
        <w:tc>
          <w:tcPr>
            <w:tcW w:w="600" w:type="dxa"/>
            <w:tcMar>
              <w:top w:w="60" w:type="dxa"/>
              <w:left w:w="90" w:type="dxa"/>
              <w:bottom w:w="60" w:type="dxa"/>
              <w:right w:w="90" w:type="dxa"/>
            </w:tcMar>
          </w:tcPr>
          <w:p>
            <w:pPr>
              <w:spacing w:after="0" w:line="264" w:lineRule="auto"/>
            </w:pPr>
            <w:r>
              <w:rPr>
                <w:rFonts w:ascii="Cambria" w:hAnsi="Cambria"/>
                <w:color w:val="1C1C1C"/>
                <w:sz w:val="19"/>
              </w:rPr>
              <w:t xml:space="preserve">□</w:t>
            </w:r>
          </w:p>
        </w:tc>
        <w:tc>
          <w:tcPr>
            <w:tcW w:w="8426" w:type="dxa"/>
            <w:tcMar>
              <w:top w:w="60" w:type="dxa"/>
              <w:left w:w="90" w:type="dxa"/>
              <w:bottom w:w="60" w:type="dxa"/>
              <w:right w:w="90" w:type="dxa"/>
            </w:tcMar>
          </w:tcPr>
          <w:p>
            <w:pPr>
              <w:spacing w:after="0" w:line="264" w:lineRule="auto"/>
            </w:pPr>
            <w:r>
              <w:rPr>
                <w:rFonts w:ascii="Cambria" w:hAnsi="Cambria"/>
                <w:color w:val="1C1C1C"/>
                <w:sz w:val="19"/>
              </w:rPr>
              <w:t xml:space="preserve">Keine Überschneidung mit dem umfangreichen Fachaufsatz oder anderen Arbeiten</w:t>
            </w:r>
          </w:p>
        </w:tc>
      </w:tr>
    </w:tbl>
    <w:p>
      <w:pPr>
        <w:spacing w:after="120" w:line="288" w:lineRule="auto"/>
      </w:pPr>
    </w:p>
    <w:p>
      <w:pPr>
        <w:pStyle w:val="KPAbschnitt"/>
        <w:spacing w:line="288" w:lineRule="auto"/>
      </w:pPr>
      <w:r>
        <w:rPr>
          <w:rFonts w:ascii="Calibri" w:hAnsi="Calibri"/>
          <w:b/>
          <w:color w:val="0F3D2A"/>
          <w:sz w:val="24"/>
        </w:rPr>
        <w:t xml:space="preserve">Die drei wichtigsten Schritte bis zur Reinfassung</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600"/>
        <w:gridCol w:w="8426"/>
      </w:tblGrid>
      <w:tr>
        <w:trPr>
          <w:tblHeader w:val="true"/>
          <w:cantSplit/>
        </w:trPr>
        <w:tc>
          <w:tcPr>
            <w:tcW w:w="600" w:type="dxa"/>
            <w:shd w:val="clear" w:color="auto" w:fill="0F3D2A"/>
            <w:tcMar>
              <w:top w:w="60" w:type="dxa"/>
              <w:left w:w="90" w:type="dxa"/>
              <w:bottom w:w="60" w:type="dxa"/>
              <w:right w:w="90" w:type="dxa"/>
            </w:tcMar>
          </w:tcPr>
          <w:p>
            <w:pPr>
              <w:spacing w:after="0" w:line="252" w:lineRule="auto"/>
            </w:pPr>
          </w:p>
        </w:tc>
        <w:tc>
          <w:tcPr>
            <w:tcW w:w="84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Was zu tun ist</w:t>
            </w:r>
          </w:p>
        </w:tc>
      </w:tr>
      <w:tr>
        <w:trPr>
          <w:cantSplit/>
        </w:trPr>
        <w:tc>
          <w:tcPr>
            <w:tcW w:w="600" w:type="dxa"/>
            <w:tcMar>
              <w:top w:w="60" w:type="dxa"/>
              <w:left w:w="90" w:type="dxa"/>
              <w:bottom w:w="60" w:type="dxa"/>
              <w:right w:w="90" w:type="dxa"/>
            </w:tcMar>
          </w:tcPr>
          <w:p>
            <w:pPr>
              <w:spacing w:after="0" w:line="264" w:lineRule="auto"/>
            </w:pPr>
            <w:r>
              <w:rPr>
                <w:rFonts w:ascii="Cambria" w:hAnsi="Cambria"/>
                <w:color w:val="1C1C1C"/>
                <w:sz w:val="20"/>
              </w:rPr>
              <w:t xml:space="preserve">1</w:t>
            </w:r>
          </w:p>
        </w:tc>
        <w:tc>
          <w:tcPr>
            <w:tcW w:w="8426" w:type="dxa"/>
            <w:tcMar>
              <w:top w:w="60" w:type="dxa"/>
              <w:left w:w="90" w:type="dxa"/>
              <w:bottom w:w="60" w:type="dxa"/>
              <w:right w:w="90" w:type="dxa"/>
            </w:tcMar>
          </w:tcPr>
          <w:p>
            <w:pPr>
              <w:spacing w:after="0" w:line="264" w:lineRule="auto"/>
            </w:pPr>
          </w:p>
        </w:tc>
      </w:tr>
      <w:tr>
        <w:trPr>
          <w:cantSplit/>
        </w:trPr>
        <w:tc>
          <w:tcPr>
            <w:tcW w:w="600"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2</w:t>
            </w:r>
          </w:p>
        </w:tc>
        <w:tc>
          <w:tcPr>
            <w:tcW w:w="8426" w:type="dxa"/>
            <w:shd w:val="clear" w:color="auto" w:fill="F1F4EC"/>
            <w:tcMar>
              <w:top w:w="60" w:type="dxa"/>
              <w:left w:w="90" w:type="dxa"/>
              <w:bottom w:w="60" w:type="dxa"/>
              <w:right w:w="90" w:type="dxa"/>
            </w:tcMar>
          </w:tcPr>
          <w:p>
            <w:pPr>
              <w:spacing w:after="0" w:line="264" w:lineRule="auto"/>
            </w:pPr>
          </w:p>
        </w:tc>
      </w:tr>
      <w:tr>
        <w:trPr>
          <w:cantSplit/>
        </w:trPr>
        <w:tc>
          <w:tcPr>
            <w:tcW w:w="600" w:type="dxa"/>
            <w:tcMar>
              <w:top w:w="60" w:type="dxa"/>
              <w:left w:w="90" w:type="dxa"/>
              <w:bottom w:w="60" w:type="dxa"/>
              <w:right w:w="90" w:type="dxa"/>
            </w:tcMar>
          </w:tcPr>
          <w:p>
            <w:pPr>
              <w:spacing w:after="0" w:line="264" w:lineRule="auto"/>
            </w:pPr>
            <w:r>
              <w:rPr>
                <w:rFonts w:ascii="Cambria" w:hAnsi="Cambria"/>
                <w:color w:val="1C1C1C"/>
                <w:sz w:val="20"/>
              </w:rPr>
              <w:t xml:space="preserve">3</w:t>
            </w:r>
          </w:p>
        </w:tc>
        <w:tc>
          <w:tcPr>
            <w:tcW w:w="8426" w:type="dxa"/>
            <w:tcMar>
              <w:top w:w="60" w:type="dxa"/>
              <w:left w:w="90" w:type="dxa"/>
              <w:bottom w:w="60" w:type="dxa"/>
              <w:right w:w="90" w:type="dxa"/>
            </w:tcMar>
          </w:tcPr>
          <w:p>
            <w:pPr>
              <w:spacing w:after="0" w:line="264" w:lineRule="auto"/>
            </w:pPr>
          </w:p>
        </w:tc>
      </w:tr>
    </w:tbl>
    <w:p>
      <w:pPr>
        <w:spacing w:after="120" w:line="288" w:lineRule="auto"/>
      </w:pP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2200"/>
        <w:gridCol w:w="2000"/>
        <w:gridCol w:w="1600"/>
        <w:gridCol w:w="3226"/>
      </w:tblGrid>
      <w:tr>
        <w:trPr>
          <w:cantSplit/>
        </w:trPr>
        <w:tc>
          <w:tcPr>
            <w:tcW w:w="2200" w:type="dxa"/>
            <w:tcMar>
              <w:top w:w="60" w:type="dxa"/>
              <w:left w:w="90" w:type="dxa"/>
              <w:bottom w:w="60" w:type="dxa"/>
              <w:right w:w="90" w:type="dxa"/>
            </w:tcMar>
          </w:tcPr>
          <w:p>
            <w:pPr>
              <w:spacing w:after="0" w:line="264" w:lineRule="auto"/>
            </w:pPr>
            <w:r>
              <w:rPr>
                <w:rFonts w:ascii="Cambria" w:hAnsi="Cambria"/>
                <w:color w:val="1C1C1C"/>
                <w:sz w:val="20"/>
              </w:rPr>
              <w:t xml:space="preserve">Reinfassung fällig am</w:t>
            </w:r>
          </w:p>
        </w:tc>
        <w:tc>
          <w:tcPr>
            <w:tcW w:w="2000" w:type="dxa"/>
            <w:tcMar>
              <w:top w:w="60" w:type="dxa"/>
              <w:left w:w="90" w:type="dxa"/>
              <w:bottom w:w="60" w:type="dxa"/>
              <w:right w:w="90" w:type="dxa"/>
            </w:tcMar>
          </w:tcPr>
          <w:p>
            <w:pPr>
              <w:spacing w:after="0" w:line="264" w:lineRule="auto"/>
            </w:pPr>
          </w:p>
        </w:tc>
        <w:tc>
          <w:tcPr>
            <w:tcW w:w="1600" w:type="dxa"/>
            <w:tcMar>
              <w:top w:w="60" w:type="dxa"/>
              <w:left w:w="90" w:type="dxa"/>
              <w:bottom w:w="60" w:type="dxa"/>
              <w:right w:w="90" w:type="dxa"/>
            </w:tcMar>
          </w:tcPr>
          <w:p>
            <w:pPr>
              <w:spacing w:after="0" w:line="264" w:lineRule="auto"/>
            </w:pPr>
            <w:r>
              <w:rPr>
                <w:rFonts w:ascii="Cambria" w:hAnsi="Cambria"/>
                <w:color w:val="1C1C1C"/>
                <w:sz w:val="20"/>
              </w:rPr>
              <w:t xml:space="preserve">Unterschrift</w:t>
            </w:r>
          </w:p>
        </w:tc>
        <w:tc>
          <w:tcPr>
            <w:tcW w:w="3226" w:type="dxa"/>
            <w:tcMar>
              <w:top w:w="60" w:type="dxa"/>
              <w:left w:w="90" w:type="dxa"/>
              <w:bottom w:w="60" w:type="dxa"/>
              <w:right w:w="90" w:type="dxa"/>
            </w:tcMar>
          </w:tcPr>
          <w:p>
            <w:pPr>
              <w:spacing w:after="0" w:line="264" w:lineRule="auto"/>
            </w:pPr>
          </w:p>
        </w:tc>
      </w:tr>
    </w:tbl>
    <w:p>
      <w:pPr>
        <w:spacing w:after="120" w:line="288" w:lineRule="auto"/>
      </w:pPr>
    </w:p>
    <w:p>
      <w:r>
        <w:br w:type="page"/>
      </w:r>
    </w:p>
    <w:p>
      <w:pPr>
        <w:pStyle w:val="KPTeil"/>
        <w:spacing w:line="288" w:lineRule="auto"/>
      </w:pPr>
      <w:r>
        <w:rPr>
          <w:rFonts w:ascii="Calibri" w:hAnsi="Calibri"/>
          <w:b/>
          <w:color w:val="8FB840"/>
          <w:sz w:val="44"/>
        </w:rPr>
        <w:t xml:space="preserve">Teil D   </w:t>
      </w:r>
      <w:r>
        <w:rPr>
          <w:rFonts w:ascii="Calibri" w:hAnsi="Calibri"/>
          <w:b/>
          <w:color w:val="0F3D2A"/>
          <w:sz w:val="44"/>
        </w:rPr>
        <w:t xml:space="preserve">Nach der Abgabe</w:t>
      </w:r>
    </w:p>
    <w:p>
      <w:pPr>
        <w:pStyle w:val="KPAbschnitt"/>
        <w:spacing w:line="288" w:lineRule="auto"/>
      </w:pPr>
      <w:r>
        <w:rPr>
          <w:rFonts w:ascii="Calibri" w:hAnsi="Calibri"/>
          <w:b/>
          <w:color w:val="8FB840"/>
          <w:sz w:val="24"/>
        </w:rPr>
        <w:t xml:space="preserve">D 1   </w:t>
      </w:r>
      <w:r>
        <w:rPr>
          <w:rFonts w:ascii="Calibri" w:hAnsi="Calibri"/>
          <w:b/>
          <w:color w:val="0F3D2A"/>
          <w:sz w:val="24"/>
        </w:rPr>
        <w:t xml:space="preserve">Anmerkungen in der Arbeit</w:t>
      </w:r>
    </w:p>
    <w:p>
      <w:pPr>
        <w:pStyle w:val="KPFließtext"/>
        <w:spacing w:line="288" w:lineRule="auto"/>
      </w:pPr>
      <w:r>
        <w:rPr>
          <w:rFonts w:ascii="Cambria" w:hAnsi="Cambria"/>
          <w:color w:val="1C1C1C"/>
          <w:sz w:val="22"/>
        </w:rPr>
        <w:t xml:space="preserve">Die Lehrerhandreichungen sind hier eindeutig: Es gehört zu den Aufgaben der Lehrkraft, die Arbeit mit Anmerkungen zu versehen, die zeigen, wo und warum eine bestimmte Ebene zuerkannt wurde. Dazu gehört die Prüfung der Mathematik und das Markieren etwaiger Fehler. Ohne diese Anmerkungen kann der Moderator die Punktzahl schwerer bestätigen.</w:t>
      </w:r>
    </w:p>
    <w:p>
      <w:pPr>
        <w:pStyle w:val="KPFließtext"/>
        <w:spacing w:line="288" w:lineRule="auto"/>
      </w:pPr>
      <w:r>
        <w:rPr>
          <w:rFonts w:ascii="Cambria" w:hAnsi="Cambria"/>
          <w:color w:val="1C1C1C"/>
          <w:sz w:val="22"/>
        </w:rPr>
        <w:t xml:space="preserve">Praktisch heißt das: je Kriterium mindestens eine Randnotiz mit dem Kriteriumsbuchstaben und einem Stichwort, dazu am Ende die fünf Ebenen mit je einem Satz. Das ist dieselbe Struktur wie im Bewertungsbogen M 11 – die Lerngruppe hat sie in Doppelstunde 5 selbst geübt.</w:t>
      </w:r>
    </w:p>
    <w:p>
      <w:pPr>
        <w:pStyle w:val="KPAbschnitt"/>
        <w:spacing w:line="288" w:lineRule="auto"/>
      </w:pPr>
      <w:r>
        <w:rPr>
          <w:rFonts w:ascii="Calibri" w:hAnsi="Calibri"/>
          <w:b/>
          <w:color w:val="8FB840"/>
          <w:sz w:val="24"/>
        </w:rPr>
        <w:t xml:space="preserve">D 2   </w:t>
      </w:r>
      <w:r>
        <w:rPr>
          <w:rFonts w:ascii="Calibri" w:hAnsi="Calibri"/>
          <w:b/>
          <w:color w:val="0F3D2A"/>
          <w:sz w:val="24"/>
        </w:rPr>
        <w:t xml:space="preserve">Authentizität</w:t>
      </w:r>
    </w:p>
    <w:p>
      <w:pPr>
        <w:pStyle w:val="KPListe"/>
        <w:spacing w:line="288" w:lineRule="auto"/>
      </w:pPr>
      <w:r>
        <w:rPr>
          <w:rFonts w:ascii="Cambria" w:hAnsi="Cambria"/>
          <w:color w:val="1C1C1C"/>
          <w:sz w:val="22"/>
        </w:rPr>
        <w:t xml:space="preserve">— </w:t>
      </w:r>
      <w:r>
        <w:rPr>
          <w:rFonts w:ascii="Cambria" w:hAnsi="Cambria"/>
          <w:color w:val="1C1C1C"/>
          <w:sz w:val="22"/>
        </w:rPr>
        <w:t xml:space="preserve">Schülerin oder Schüler und Lehrkraft unterzeichnen das Formular aus dem Dokument „Bewertungsverfahren für das Diplomprogramm“.</w:t>
      </w:r>
    </w:p>
    <w:p>
      <w:pPr>
        <w:pStyle w:val="KPListe"/>
        <w:spacing w:line="288" w:lineRule="auto"/>
      </w:pPr>
      <w:r>
        <w:rPr>
          <w:rFonts w:ascii="Cambria" w:hAnsi="Cambria"/>
          <w:color w:val="1C1C1C"/>
          <w:sz w:val="22"/>
        </w:rPr>
        <w:t xml:space="preserve">— </w:t>
      </w:r>
      <w:r>
        <w:rPr>
          <w:rFonts w:ascii="Cambria" w:hAnsi="Cambria"/>
          <w:color w:val="1C1C1C"/>
          <w:sz w:val="22"/>
        </w:rPr>
        <w:t xml:space="preserve">Prüfmöglichkeiten laut Lehrerhandreichungen: Gespräch über den Inhalt; die Methoden erklären und Ergebnisse zusammenfassen lassen; einen Teil der Analyse mit anderen Daten wiederholen lassen; die Arbeit vor der Klasse präsentieren lassen.</w:t>
      </w:r>
    </w:p>
    <w:p>
      <w:pPr>
        <w:pStyle w:val="KPListe"/>
        <w:spacing w:line="288" w:lineRule="auto"/>
      </w:pPr>
      <w:r>
        <w:rPr>
          <w:rFonts w:ascii="Cambria" w:hAnsi="Cambria"/>
          <w:color w:val="1C1C1C"/>
          <w:sz w:val="22"/>
        </w:rPr>
        <w:t xml:space="preserve">— </w:t>
      </w:r>
      <w:r>
        <w:rPr>
          <w:rFonts w:ascii="Cambria" w:hAnsi="Cambria"/>
          <w:color w:val="1C1C1C"/>
          <w:sz w:val="22"/>
        </w:rPr>
        <w:t xml:space="preserve">In diesem Workshop entstehen zwei der dafür nützlichen Dokumente von selbst: das Trichterblatt aus Doppelstunde 4 und das ausgefüllte Formular A aus Doppelstunde 6. Beide aufheben.</w:t>
      </w:r>
    </w:p>
    <w:p>
      <w:pPr>
        <w:pStyle w:val="KPListe"/>
        <w:spacing w:line="288" w:lineRule="auto"/>
      </w:pPr>
      <w:r>
        <w:rPr>
          <w:rFonts w:ascii="Cambria" w:hAnsi="Cambria"/>
          <w:color w:val="1C1C1C"/>
          <w:sz w:val="22"/>
        </w:rPr>
        <w:t xml:space="preserve">— </w:t>
      </w:r>
      <w:r>
        <w:rPr>
          <w:rFonts w:ascii="Cambria" w:hAnsi="Cambria"/>
          <w:color w:val="1C1C1C"/>
          <w:sz w:val="22"/>
        </w:rPr>
        <w:t xml:space="preserve">Das Abgabegespräch (zehn Minuten, zwei Stellen erklären lassen) ist die einfachste und wirksamste Prüfung. Es steht auf M 14, ist also angekündigt.</w:t>
      </w:r>
    </w:p>
    <w:p>
      <w:pPr>
        <w:pStyle w:val="KPAbschnitt"/>
        <w:spacing w:line="288" w:lineRule="auto"/>
      </w:pPr>
      <w:r>
        <w:rPr>
          <w:rFonts w:ascii="Calibri" w:hAnsi="Calibri"/>
          <w:b/>
          <w:color w:val="8FB840"/>
          <w:sz w:val="24"/>
        </w:rPr>
        <w:t xml:space="preserve">D 3   </w:t>
      </w:r>
      <w:r>
        <w:rPr>
          <w:rFonts w:ascii="Calibri" w:hAnsi="Calibri"/>
          <w:b/>
          <w:color w:val="0F3D2A"/>
          <w:sz w:val="24"/>
        </w:rPr>
        <w:t xml:space="preserve">Standardisierung</w:t>
      </w:r>
    </w:p>
    <w:p>
      <w:pPr>
        <w:pStyle w:val="KPFließtext"/>
        <w:spacing w:line="288" w:lineRule="auto"/>
      </w:pPr>
      <w:r>
        <w:rPr>
          <w:rFonts w:ascii="Cambria" w:hAnsi="Cambria"/>
          <w:color w:val="1C1C1C"/>
          <w:sz w:val="22"/>
        </w:rPr>
        <w:t xml:space="preserve">Die Moderation durch die IB wird schulweise angewandt, nicht auf einzelne Lehrkräfte. Wenn an der Schule mehrere Lehrkräfte Erkundungsarbeiten bewerten, muss vorher eine interne Standardisierung stattfinden – auch zwischen Standard Level und Higher Level. Die drei Musterarbeiten dieses Workshops eignen sich dafür: gemeinsam bewerten, Abweichungen besprechen, Maßstab festhalten.</w:t>
      </w:r>
    </w:p>
    <w:p>
      <w:pPr>
        <w:pStyle w:val="KPAbschnitt"/>
        <w:spacing w:line="288" w:lineRule="auto"/>
      </w:pPr>
      <w:r>
        <w:rPr>
          <w:rFonts w:ascii="Calibri" w:hAnsi="Calibri"/>
          <w:b/>
          <w:color w:val="8FB840"/>
          <w:sz w:val="24"/>
        </w:rPr>
        <w:t xml:space="preserve">D 4   </w:t>
      </w:r>
      <w:r>
        <w:rPr>
          <w:rFonts w:ascii="Calibri" w:hAnsi="Calibri"/>
          <w:b/>
          <w:color w:val="0F3D2A"/>
          <w:sz w:val="24"/>
        </w:rPr>
        <w:t xml:space="preserve">Quellen</w:t>
      </w:r>
    </w:p>
    <w:p>
      <w:pPr>
        <w:pStyle w:val="KPKlein"/>
        <w:spacing w:line="288" w:lineRule="auto"/>
      </w:pPr>
      <w:r>
        <w:rPr>
          <w:rFonts w:ascii="Calibri" w:hAnsi="Calibri"/>
          <w:color w:val="5E5E5E"/>
          <w:sz w:val="18"/>
        </w:rPr>
        <w:t xml:space="preserve">International Baccalaureate Organization: Handbuch Mathematik: Analyse und Ansätze. Für Prüfungen ab 2021. Abschnitt „Interne Bewertung“, Seiten 86–97.</w:t>
      </w:r>
    </w:p>
    <w:p>
      <w:pPr>
        <w:pStyle w:val="KPKlein"/>
        <w:spacing w:line="288" w:lineRule="auto"/>
      </w:pPr>
      <w:r>
        <w:rPr>
          <w:rFonts w:ascii="Calibri" w:hAnsi="Calibri"/>
          <w:color w:val="5E5E5E"/>
          <w:sz w:val="18"/>
        </w:rPr>
        <w:t xml:space="preserve">International Baccalaureate Organization: Lehrerhandreichungen Mathematik: Analyse und Ansätze. Für Prüfungen ab 2021. Abschnitte „Vorbereitung auf die intern bewertete Erkundungsarbeit“, „Planung“, „Bewertung“, „Bewertungskriterien“ und „Häufig gestellte Fragen zur internen Bewertung“.</w:t>
      </w:r>
    </w:p>
    <w:p>
      <w:pPr>
        <w:pStyle w:val="KPKlein"/>
        <w:spacing w:line="288" w:lineRule="auto"/>
      </w:pPr>
      <w:r>
        <w:rPr>
          <w:rFonts w:ascii="Calibri" w:hAnsi="Calibri"/>
          <w:color w:val="5E5E5E"/>
          <w:sz w:val="18"/>
        </w:rPr>
        <w:t xml:space="preserve">Formular A – Erkundungsarbeit: Anfängliche Planung (deutsche Fassung, IB).</w:t>
      </w:r>
    </w:p>
    <w:sectPr>
      <w:headerReference w:type="default" r:id="rId9"/>
      <w:footerReference w:type="default" r:id="rId10"/>
      <w:headerReference w:type="first" r:id="rId11"/>
      <w:footerReference w:type="first" r:id="rId12"/>
      <w:headerReference w:type="even" r:id="rId13"/>
      <w:footerReference w:type="even" r:id="rId14"/>
      <w:pgSz w:w="11906" w:h="16838"/>
      <w:pgMar w:top="1300" w:right="1440" w:bottom="130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8" w:space="4" w:color="CFCFCF"/>
      </w:pBdr>
      <w:tabs>
        <w:tab w:val="clear" w:pos="4513"/>
        <w:tab w:val="clear" w:pos="4536"/>
        <w:tab w:val="clear" w:pos="9026"/>
        <w:tab w:val="clear" w:pos="9072"/>
        <w:tab w:val="right" w:pos="9026"/>
      </w:tabs>
      <w:spacing w:before="60"/>
    </w:pPr>
    <w:r/>
    <w:r>
      <w:rPr>
        <w:rFonts w:ascii="Calibri" w:hAnsi="Calibri"/>
        <w:color w:val="9A9A9A"/>
        <w:sz w:val="16"/>
      </w:rPr>
      <w:t>© 2026 Dirk Kehm</w:t>
    </w:r>
    <w:r>
      <w:rPr>
        <w:rFonts w:ascii="Calibri" w:hAnsi="Calibri"/>
        <w:color w:val="9A9A9A"/>
        <w:sz w:val="16"/>
      </w:rPr>
      <w:tab/>
      <w:t xml:space="preserve">Musterarbeiten und Lösungen  ·  </w:t>
    </w:r>
    <w:r>
      <w:rPr>
        <w:rFonts w:ascii="Calibri" w:hAnsi="Calibri"/>
        <w:b/>
        <w:color w:val="0F3D2A"/>
        <w:sz w:val="16"/>
      </w:rPr>
      <w:fldChar w:fldCharType="begin"/>
    </w:r>
    <w:r>
      <w:rPr>
        <w:rFonts w:ascii="Calibri" w:hAnsi="Calibri"/>
        <w:b/>
        <w:color w:val="0F3D2A"/>
        <w:sz w:val="16"/>
      </w:rPr>
      <w:instrText xml:space="preserve">PAGE</w:instrText>
    </w:r>
    <w:r>
      <w:rPr>
        <w:rFonts w:ascii="Calibri" w:hAnsi="Calibri"/>
        <w:b/>
        <w:color w:val="0F3D2A"/>
        <w:sz w:val="16"/>
      </w:rPr>
      <w:fldChar w:fldCharType="separate"/>
    </w:r>
    <w:r>
      <w:rPr>
        <w:rFonts w:ascii="Calibri" w:hAnsi="Calibri"/>
        <w:b/>
        <w:color w:val="0F3D2A"/>
        <w:sz w:val="16"/>
      </w:rPr>
      <w:t>1</w:t>
    </w:r>
    <w:r>
      <w:rPr>
        <w:rFonts w:ascii="Calibri" w:hAnsi="Calibri"/>
        <w:b/>
        <w:color w:val="0F3D2A"/>
        <w:sz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8" w:space="2" w:color="8FB840"/>
      </w:pBdr>
      <w:tabs>
        <w:tab w:val="clear" w:pos="4513"/>
        <w:tab w:val="clear" w:pos="4536"/>
        <w:tab w:val="clear" w:pos="9026"/>
        <w:tab w:val="clear" w:pos="9072"/>
        <w:tab w:val="right" w:pos="9026"/>
      </w:tabs>
    </w:pPr>
    <w:r/>
    <w:r>
      <w:rPr>
        <w:rFonts w:ascii="Calibri" w:hAnsi="Calibri"/>
        <w:b/>
        <w:color w:val="0F3D2A"/>
        <w:spacing w:val="30"/>
        <w:sz w:val="16"/>
      </w:rPr>
      <w:t>ERWARTUNGSBEWERTUNG  ·  NUR FÜR DIE LEHRKRAFT</w:t>
    </w:r>
    <w:r>
      <w:rPr>
        <w:rFonts w:ascii="Calibri" w:hAnsi="Calibri"/>
        <w:color w:val="808080"/>
        <w:sz w:val="16"/>
      </w:rPr>
      <w:tab/>
      <w:t>Musterarbeiten und Lösungen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Cambria" w:hAnsi="Cambria" w:eastAsia="Cambria" w:cs="Cambria"/>
      <w:color w:val="1C1C1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PTeil">
    <w:name w:val="KP Teil"/>
    <w:basedOn w:val="Normal"/>
    <w:pPr>
      <w:keepNext/>
      <w:spacing w:before="0" w:after="280" w:line="288" w:lineRule="auto"/>
      <w:outlineLvl w:val="0"/>
      <w:pBdr>
        <w:bottom w:val="single" w:sz="18" w:space="6" w:color="8FB840"/>
      </w:pBdr>
    </w:pPr>
    <w:rPr>
      <w:rFonts w:ascii="Calibri" w:hAnsi="Calibri" w:eastAsia="Calibri" w:cs="Calibri"/>
      <w:b/>
      <w:i w:val="0"/>
      <w:color w:val="0F3D2A"/>
      <w:sz w:val="44"/>
    </w:rPr>
  </w:style>
  <w:style w:type="paragraph" w:customStyle="1" w:styleId="KPKapitel">
    <w:name w:val="KP Kapitel"/>
    <w:basedOn w:val="Normal"/>
    <w:pPr>
      <w:keepNext/>
      <w:spacing w:before="280" w:after="200" w:line="288" w:lineRule="auto"/>
      <w:outlineLvl w:val="1"/>
      <w:pBdr>
        <w:bottom w:val="single" w:sz="12" w:space="5" w:color="8FB840"/>
      </w:pBdr>
    </w:pPr>
    <w:rPr>
      <w:rFonts w:ascii="Calibri" w:hAnsi="Calibri" w:eastAsia="Calibri" w:cs="Calibri"/>
      <w:b/>
      <w:i w:val="0"/>
      <w:color w:val="0F3D2A"/>
      <w:sz w:val="32"/>
    </w:rPr>
  </w:style>
  <w:style w:type="paragraph" w:customStyle="1" w:styleId="KPAbschnitt">
    <w:name w:val="KP Abschnitt"/>
    <w:basedOn w:val="Normal"/>
    <w:pPr>
      <w:keepNext/>
      <w:spacing w:before="200" w:after="120" w:line="288" w:lineRule="auto"/>
      <w:outlineLvl w:val="2"/>
      <w:pBdr>
        <w:bottom w:val="single" w:sz="6" w:space="4" w:color="DCE8C2"/>
      </w:pBdr>
    </w:pPr>
    <w:rPr>
      <w:rFonts w:ascii="Calibri" w:hAnsi="Calibri" w:eastAsia="Calibri" w:cs="Calibri"/>
      <w:b/>
      <w:i w:val="0"/>
      <w:color w:val="0F3D2A"/>
      <w:sz w:val="24"/>
    </w:rPr>
  </w:style>
  <w:style w:type="paragraph" w:customStyle="1" w:styleId="KPUnterpunkt">
    <w:name w:val="KP Unterpunkt"/>
    <w:basedOn w:val="Normal"/>
    <w:pPr>
      <w:keepNext/>
      <w:spacing w:before="160" w:after="80" w:line="288" w:lineRule="auto"/>
      <w:outlineLvl w:val="3"/>
    </w:pPr>
    <w:rPr>
      <w:rFonts w:ascii="Calibri" w:hAnsi="Calibri" w:eastAsia="Calibri" w:cs="Calibri"/>
      <w:b/>
      <w:i w:val="0"/>
      <w:color w:val="0F3D2A"/>
      <w:sz w:val="21"/>
    </w:rPr>
  </w:style>
  <w:style w:type="paragraph" w:customStyle="1" w:styleId="KPBlocktitel">
    <w:name w:val="KP Blocktitel"/>
    <w:basedOn w:val="Normal"/>
    <w:pPr>
      <w:keepNext/>
      <w:spacing w:before="240" w:after="160" w:line="288" w:lineRule="auto"/>
      <w:outlineLvl w:val="2"/>
      <w:pBdr>
        <w:bottom w:val="single" w:sz="12" w:space="5" w:color="8FB840"/>
      </w:pBdr>
    </w:pPr>
    <w:rPr>
      <w:rFonts w:ascii="Calibri" w:hAnsi="Calibri" w:eastAsia="Calibri" w:cs="Calibri"/>
      <w:b/>
      <w:i w:val="0"/>
      <w:color w:val="0F3D2A"/>
      <w:sz w:val="28"/>
    </w:rPr>
  </w:style>
  <w:style w:type="paragraph" w:customStyle="1" w:styleId="KPFeldname">
    <w:name w:val="KP Feldname"/>
    <w:basedOn w:val="Normal"/>
    <w:pPr>
      <w:keepNext/>
      <w:spacing w:before="120" w:after="40" w:line="288" w:lineRule="auto"/>
    </w:pPr>
    <w:rPr>
      <w:rFonts w:ascii="Calibri" w:hAnsi="Calibri" w:eastAsia="Calibri" w:cs="Calibri"/>
      <w:b/>
      <w:i w:val="0"/>
      <w:color w:val="0F3D2A"/>
      <w:sz w:val="19"/>
    </w:rPr>
  </w:style>
  <w:style w:type="paragraph" w:customStyle="1" w:styleId="KPFließtext">
    <w:name w:val="KP Fließtext"/>
    <w:basedOn w:val="Normal"/>
    <w:pPr>
      <w:keepNext w:val="0"/>
      <w:spacing w:before="0" w:after="120" w:line="288" w:lineRule="auto"/>
    </w:pPr>
    <w:rPr>
      <w:rFonts w:ascii="Cambria" w:hAnsi="Cambria" w:eastAsia="Cambria" w:cs="Cambria"/>
      <w:b w:val="0"/>
      <w:i w:val="0"/>
      <w:color w:val="1C1C1C"/>
      <w:sz w:val="22"/>
    </w:rPr>
  </w:style>
  <w:style w:type="paragraph" w:customStyle="1" w:styleId="KPKlein">
    <w:name w:val="KP Klein"/>
    <w:basedOn w:val="Normal"/>
    <w:pPr>
      <w:keepNext w:val="0"/>
      <w:spacing w:before="0" w:after="80" w:line="288" w:lineRule="auto"/>
    </w:pPr>
    <w:rPr>
      <w:rFonts w:ascii="Calibri" w:hAnsi="Calibri" w:eastAsia="Calibri" w:cs="Calibri"/>
      <w:b w:val="0"/>
      <w:i w:val="0"/>
      <w:color w:val="5E5E5E"/>
      <w:sz w:val="18"/>
    </w:rPr>
  </w:style>
  <w:style w:type="paragraph" w:customStyle="1" w:styleId="KPKasten">
    <w:name w:val="KP Kasten"/>
    <w:basedOn w:val="Normal"/>
    <w:pPr>
      <w:keepNext w:val="0"/>
      <w:spacing w:before="0" w:after="80" w:line="288" w:lineRule="auto"/>
    </w:pPr>
    <w:rPr>
      <w:rFonts w:ascii="Cambria" w:hAnsi="Cambria" w:eastAsia="Cambria" w:cs="Cambria"/>
      <w:b w:val="0"/>
      <w:i w:val="0"/>
      <w:color w:val="1C1C1C"/>
      <w:sz w:val="20"/>
    </w:rPr>
  </w:style>
  <w:style w:type="paragraph" w:customStyle="1" w:styleId="KPListe">
    <w:name w:val="KP Liste"/>
    <w:basedOn w:val="Normal"/>
    <w:pPr>
      <w:keepNext w:val="0"/>
      <w:spacing w:before="0" w:after="60" w:line="288" w:lineRule="auto"/>
      <w:ind w:left="397" w:hanging="397"/>
    </w:pPr>
    <w:rPr>
      <w:rFonts w:ascii="Cambria" w:hAnsi="Cambria" w:eastAsia="Cambria" w:cs="Cambria"/>
      <w:b w:val="0"/>
      <w:i w:val="0"/>
      <w:color w:val="1C1C1C"/>
      <w:sz w:val="22"/>
    </w:rPr>
  </w:style>
  <w:style w:type="paragraph" w:customStyle="1" w:styleId="KPListekompakt">
    <w:name w:val="KP Liste kompakt"/>
    <w:basedOn w:val="Normal"/>
    <w:pPr>
      <w:keepNext w:val="0"/>
      <w:spacing w:before="0" w:after="20" w:line="264" w:lineRule="auto"/>
      <w:ind w:left="340" w:hanging="340"/>
    </w:pPr>
    <w:rPr>
      <w:rFonts w:ascii="Cambria" w:hAnsi="Cambria" w:eastAsia="Cambria" w:cs="Cambria"/>
      <w:b w:val="0"/>
      <w:i w:val="0"/>
      <w:color w:val="1C1C1C"/>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 Kehm</dc:creator>
  <cp:keywords/>
  <dc:description>generated by python-docx</dc:description>
  <cp:lastModifiedBy/>
  <cp:revision>1</cp:revision>
  <dcterms:created xsi:type="dcterms:W3CDTF">2013-12-23T23:15:00Z</dcterms:created>
  <dcterms:modified xsi:type="dcterms:W3CDTF">2013-12-23T23:15:00Z</dcterms:modified>
  <cp:category/>
</cp:coreProperties>
</file>